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6061" w:rsidRDefault="00610DB9">
      <w:pPr>
        <w:rPr>
          <w:rFonts w:ascii="宋体" w:eastAsia="宋体" w:hAnsi="宋体" w:cs="宋体"/>
          <w:kern w:val="0"/>
          <w:szCs w:val="21"/>
        </w:rPr>
      </w:pPr>
      <w:bookmarkStart w:id="0" w:name="_Toc1737799"/>
      <w:bookmarkStart w:id="1" w:name="_Toc135996539"/>
      <w:bookmarkStart w:id="2" w:name="_Toc137117931"/>
      <w:bookmarkStart w:id="3" w:name="_Toc135997773"/>
      <w:bookmarkStart w:id="4" w:name="_Toc135998658"/>
      <w:r>
        <w:rPr>
          <w:rFonts w:ascii="宋体" w:eastAsia="宋体" w:hAnsi="宋体" w:cs="宋体" w:hint="eastAsia"/>
          <w:kern w:val="0"/>
          <w:szCs w:val="21"/>
        </w:rPr>
        <w:t>XXXXX</w:t>
      </w:r>
    </w:p>
    <w:p w:rsidR="00BA6061" w:rsidRDefault="00610DB9">
      <w:pPr>
        <w:rPr>
          <w:rFonts w:ascii="宋体" w:eastAsia="宋体" w:hAnsi="宋体" w:cs="宋体"/>
          <w:kern w:val="0"/>
          <w:szCs w:val="21"/>
        </w:rPr>
      </w:pPr>
      <w:r>
        <w:rPr>
          <w:rFonts w:ascii="宋体" w:eastAsia="宋体" w:hAnsi="宋体" w:cs="宋体" w:hint="eastAsia"/>
          <w:kern w:val="0"/>
          <w:szCs w:val="21"/>
        </w:rPr>
        <w:t xml:space="preserve">中国标准文献分类号 </w:t>
      </w:r>
      <w:r>
        <w:rPr>
          <w:rFonts w:ascii="仿宋" w:eastAsia="仿宋" w:hAnsi="仿宋" w:cs="Times New Roman" w:hint="eastAsia"/>
          <w:szCs w:val="21"/>
        </w:rPr>
        <w:t>XX</w:t>
      </w:r>
    </w:p>
    <w:p w:rsidR="00BA6061" w:rsidRDefault="00BA6061">
      <w:pPr>
        <w:jc w:val="center"/>
        <w:rPr>
          <w:rFonts w:ascii="黑体" w:eastAsia="黑体" w:hAnsi="黑体" w:cs="黑体"/>
          <w:kern w:val="0"/>
          <w:sz w:val="36"/>
          <w:szCs w:val="36"/>
        </w:rPr>
      </w:pPr>
    </w:p>
    <w:p w:rsidR="00BA6061" w:rsidRDefault="00610DB9">
      <w:pPr>
        <w:spacing w:line="360" w:lineRule="auto"/>
        <w:jc w:val="center"/>
        <w:rPr>
          <w:rFonts w:ascii="黑体" w:eastAsia="黑体" w:hAnsi="黑体" w:cs="黑体"/>
          <w:kern w:val="0"/>
          <w:sz w:val="72"/>
          <w:szCs w:val="72"/>
        </w:rPr>
      </w:pPr>
      <w:r>
        <w:rPr>
          <w:rFonts w:ascii="黑体" w:eastAsia="黑体" w:hAnsi="黑体" w:cs="黑体" w:hint="eastAsia"/>
          <w:kern w:val="0"/>
          <w:sz w:val="72"/>
          <w:szCs w:val="72"/>
        </w:rPr>
        <w:t>团  体  标  准</w:t>
      </w:r>
    </w:p>
    <w:p w:rsidR="00BA6061" w:rsidRDefault="00610DB9">
      <w:pPr>
        <w:spacing w:beforeLines="50" w:before="156" w:line="360" w:lineRule="auto"/>
        <w:jc w:val="right"/>
        <w:rPr>
          <w:rFonts w:ascii="宋体" w:eastAsia="宋体" w:hAnsi="宋体" w:cs="宋体"/>
          <w:kern w:val="0"/>
          <w:szCs w:val="21"/>
        </w:rPr>
      </w:pPr>
      <w:r>
        <w:rPr>
          <w:rFonts w:ascii="宋体" w:eastAsia="宋体" w:hAnsi="宋体" w:cs="宋体" w:hint="eastAsia"/>
          <w:kern w:val="0"/>
          <w:szCs w:val="21"/>
        </w:rPr>
        <w:t>T/CCMS XXX-XXXX</w:t>
      </w:r>
    </w:p>
    <w:p w:rsidR="00BA6061" w:rsidRDefault="00610DB9">
      <w:pPr>
        <w:wordWrap w:val="0"/>
        <w:spacing w:line="360" w:lineRule="auto"/>
        <w:jc w:val="right"/>
        <w:rPr>
          <w:rFonts w:ascii="宋体" w:eastAsia="宋体" w:hAnsi="宋体" w:cs="宋体"/>
          <w:kern w:val="0"/>
          <w:szCs w:val="21"/>
        </w:rPr>
      </w:pPr>
      <w:r>
        <w:rPr>
          <w:rFonts w:ascii="宋体" w:eastAsia="宋体" w:hAnsi="宋体" w:cs="宋体" w:hint="eastAsia"/>
          <w:kern w:val="0"/>
          <w:szCs w:val="21"/>
        </w:rPr>
        <w:t xml:space="preserve"> </w:t>
      </w:r>
    </w:p>
    <w:p w:rsidR="00BA6061" w:rsidRDefault="00610DB9">
      <w:pPr>
        <w:spacing w:line="360" w:lineRule="auto"/>
        <w:jc w:val="right"/>
        <w:rPr>
          <w:rFonts w:ascii="宋体" w:eastAsia="宋体" w:hAnsi="宋体" w:cs="宋体"/>
          <w:kern w:val="0"/>
          <w:szCs w:val="21"/>
        </w:rPr>
      </w:pPr>
      <w:r>
        <w:rPr>
          <w:rFonts w:ascii="等线" w:eastAsia="等线" w:hAnsi="等线" w:cs="Times New Roman"/>
          <w:noProof/>
        </w:rPr>
        <mc:AlternateContent>
          <mc:Choice Requires="wps">
            <w:drawing>
              <wp:anchor distT="0" distB="0" distL="114300" distR="114300" simplePos="0" relativeHeight="251659264" behindDoc="0" locked="0" layoutInCell="1" allowOverlap="1">
                <wp:simplePos x="0" y="0"/>
                <wp:positionH relativeFrom="column">
                  <wp:posOffset>11430</wp:posOffset>
                </wp:positionH>
                <wp:positionV relativeFrom="paragraph">
                  <wp:posOffset>148590</wp:posOffset>
                </wp:positionV>
                <wp:extent cx="5342890" cy="8890"/>
                <wp:effectExtent l="0" t="4445" r="3810" b="5715"/>
                <wp:wrapNone/>
                <wp:docPr id="1" name="直接连接符 1"/>
                <wp:cNvGraphicFramePr/>
                <a:graphic xmlns:a="http://schemas.openxmlformats.org/drawingml/2006/main">
                  <a:graphicData uri="http://schemas.microsoft.com/office/word/2010/wordprocessingShape">
                    <wps:wsp>
                      <wps:cNvCnPr/>
                      <wps:spPr>
                        <a:xfrm flipV="1">
                          <a:off x="1154430" y="3953510"/>
                          <a:ext cx="5342890" cy="8890"/>
                        </a:xfrm>
                        <a:prstGeom prst="line">
                          <a:avLst/>
                        </a:prstGeom>
                        <a:noFill/>
                        <a:ln w="6350" cap="flat" cmpd="sng" algn="ctr">
                          <a:solidFill>
                            <a:sysClr val="windowText" lastClr="000000"/>
                          </a:solidFill>
                          <a:prstDash val="solid"/>
                          <a:miter lim="800000"/>
                        </a:ln>
                        <a:effectLst/>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flip:y;margin-left:0.9pt;margin-top:11.7pt;height:0.7pt;width:420.7pt;z-index:251659264;mso-width-relative:page;mso-height-relative:page;" filled="f" stroked="t" coordsize="21600,21600" o:gfxdata="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STGXn0wAAAAcBAAAPAAAAAAAAAAEAIAAAACIAAABkcnMv&#10;ZG93bnJldi54bWxQSwECFAAUAAAACACHTuJAjmfXpwgCAADsAwAADgAAAAAAAAABACAAAAAiAQAA&#10;ZHJzL2Uyb0RvYy54bWxQSwUGAAAAAAYABgBZAQAAnAUAAAAA&#10;">
                <v:fill on="f" focussize="0,0"/>
                <v:stroke weight="0.5pt" color="#000000 [3200]" miterlimit="8" joinstyle="miter"/>
                <v:imagedata o:title=""/>
                <o:lock v:ext="edit" aspectratio="f"/>
              </v:line>
            </w:pict>
          </mc:Fallback>
        </mc:AlternateContent>
      </w:r>
    </w:p>
    <w:p w:rsidR="00BA6061" w:rsidRDefault="00BA6061">
      <w:pPr>
        <w:rPr>
          <w:rFonts w:ascii="黑体" w:eastAsia="黑体" w:hAnsi="黑体" w:cs="黑体"/>
          <w:kern w:val="0"/>
          <w:sz w:val="28"/>
          <w:szCs w:val="28"/>
        </w:rPr>
      </w:pPr>
    </w:p>
    <w:p w:rsidR="00BA6061" w:rsidRDefault="00BA6061">
      <w:pPr>
        <w:rPr>
          <w:rFonts w:ascii="黑体" w:eastAsia="黑体" w:hAnsi="黑体" w:cs="黑体"/>
          <w:kern w:val="0"/>
          <w:sz w:val="28"/>
          <w:szCs w:val="28"/>
        </w:rPr>
      </w:pPr>
    </w:p>
    <w:p w:rsidR="00BA6061" w:rsidRDefault="00BA6061">
      <w:pPr>
        <w:rPr>
          <w:rFonts w:ascii="黑体" w:eastAsia="黑体" w:hAnsi="黑体" w:cs="黑体"/>
          <w:kern w:val="0"/>
          <w:sz w:val="28"/>
          <w:szCs w:val="28"/>
        </w:rPr>
      </w:pPr>
    </w:p>
    <w:p w:rsidR="00BA6061" w:rsidRDefault="00610DB9">
      <w:pPr>
        <w:spacing w:line="600" w:lineRule="auto"/>
        <w:jc w:val="center"/>
        <w:rPr>
          <w:rFonts w:ascii="黑体" w:eastAsia="黑体" w:hAnsi="黑体" w:cs="黑体"/>
          <w:spacing w:val="-20"/>
          <w:kern w:val="0"/>
          <w:sz w:val="48"/>
          <w:szCs w:val="48"/>
        </w:rPr>
      </w:pPr>
      <w:r>
        <w:rPr>
          <w:rFonts w:ascii="黑体" w:eastAsia="黑体" w:hAnsi="黑体" w:cs="黑体" w:hint="eastAsia"/>
          <w:spacing w:val="-20"/>
          <w:kern w:val="0"/>
          <w:sz w:val="48"/>
          <w:szCs w:val="48"/>
        </w:rPr>
        <w:t>大型结构整体安装同步施工结构设计规程</w:t>
      </w:r>
    </w:p>
    <w:p w:rsidR="00BA6061" w:rsidRDefault="00610DB9">
      <w:pPr>
        <w:jc w:val="center"/>
        <w:rPr>
          <w:rFonts w:eastAsia="黑体" w:cstheme="minorHAnsi"/>
          <w:kern w:val="0"/>
          <w:sz w:val="28"/>
          <w:szCs w:val="28"/>
        </w:rPr>
      </w:pPr>
      <w:r>
        <w:rPr>
          <w:rFonts w:eastAsia="黑体" w:cstheme="minorHAnsi"/>
          <w:kern w:val="0"/>
          <w:sz w:val="32"/>
          <w:szCs w:val="32"/>
        </w:rPr>
        <w:t>Specification for Structural Design of Integral Installation and Synchronous Construction of Large</w:t>
      </w:r>
      <w:r>
        <w:rPr>
          <w:rFonts w:ascii="MS Gothic" w:eastAsia="MS Gothic" w:hAnsi="MS Gothic" w:cs="MS Gothic" w:hint="eastAsia"/>
          <w:kern w:val="0"/>
          <w:sz w:val="32"/>
          <w:szCs w:val="32"/>
        </w:rPr>
        <w:t>‑</w:t>
      </w:r>
      <w:r>
        <w:rPr>
          <w:rFonts w:eastAsia="黑体" w:cstheme="minorHAnsi"/>
          <w:kern w:val="0"/>
          <w:sz w:val="32"/>
          <w:szCs w:val="32"/>
        </w:rPr>
        <w:t>scale Structures</w:t>
      </w:r>
    </w:p>
    <w:p w:rsidR="00EE53C4" w:rsidRPr="00EE53C4" w:rsidRDefault="00EE53C4" w:rsidP="00EE53C4">
      <w:pPr>
        <w:spacing w:beforeLines="100" w:before="312"/>
        <w:jc w:val="center"/>
        <w:rPr>
          <w:rFonts w:ascii="黑体" w:eastAsia="黑体" w:hAnsi="黑体" w:cs="黑体"/>
          <w:spacing w:val="-20"/>
          <w:kern w:val="0"/>
          <w:sz w:val="48"/>
          <w:szCs w:val="48"/>
        </w:rPr>
      </w:pPr>
      <w:r w:rsidRPr="00EE53C4">
        <w:rPr>
          <w:rFonts w:ascii="黑体" w:eastAsia="黑体" w:hAnsi="黑体" w:cs="黑体" w:hint="eastAsia"/>
          <w:spacing w:val="-20"/>
          <w:kern w:val="0"/>
          <w:sz w:val="48"/>
          <w:szCs w:val="48"/>
        </w:rPr>
        <w:t>（征求意见稿）</w:t>
      </w:r>
    </w:p>
    <w:p w:rsidR="00BA6061" w:rsidRDefault="00BA6061">
      <w:pPr>
        <w:rPr>
          <w:rFonts w:ascii="黑体" w:eastAsia="黑体" w:hAnsi="黑体" w:cs="黑体"/>
          <w:kern w:val="0"/>
          <w:sz w:val="28"/>
          <w:szCs w:val="28"/>
        </w:rPr>
      </w:pPr>
    </w:p>
    <w:p w:rsidR="00BA6061" w:rsidRDefault="00BA6061">
      <w:pPr>
        <w:rPr>
          <w:rFonts w:ascii="黑体" w:eastAsia="黑体" w:hAnsi="黑体" w:cs="黑体"/>
          <w:kern w:val="0"/>
          <w:sz w:val="28"/>
          <w:szCs w:val="28"/>
        </w:rPr>
      </w:pPr>
    </w:p>
    <w:p w:rsidR="00BA6061" w:rsidRDefault="00BA6061">
      <w:pPr>
        <w:rPr>
          <w:rFonts w:ascii="黑体" w:eastAsia="黑体" w:hAnsi="黑体" w:cs="黑体"/>
          <w:kern w:val="0"/>
          <w:sz w:val="28"/>
          <w:szCs w:val="28"/>
        </w:rPr>
      </w:pPr>
    </w:p>
    <w:p w:rsidR="00BA6061" w:rsidRDefault="00BA6061">
      <w:pPr>
        <w:rPr>
          <w:rFonts w:ascii="黑体" w:eastAsia="黑体" w:hAnsi="黑体" w:cs="黑体"/>
          <w:kern w:val="0"/>
          <w:sz w:val="28"/>
          <w:szCs w:val="28"/>
        </w:rPr>
      </w:pPr>
    </w:p>
    <w:p w:rsidR="00BA6061" w:rsidRDefault="00610DB9">
      <w:pPr>
        <w:rPr>
          <w:rFonts w:ascii="黑体" w:eastAsia="黑体" w:hAnsi="黑体" w:cs="黑体"/>
          <w:kern w:val="0"/>
          <w:sz w:val="28"/>
          <w:szCs w:val="28"/>
        </w:rPr>
      </w:pPr>
      <w:r>
        <w:rPr>
          <w:rFonts w:ascii="等线" w:eastAsia="等线" w:hAnsi="等线" w:cs="Times New Roman"/>
          <w:noProof/>
        </w:rPr>
        <mc:AlternateContent>
          <mc:Choice Requires="wps">
            <w:drawing>
              <wp:anchor distT="0" distB="0" distL="114300" distR="114300" simplePos="0" relativeHeight="251660288" behindDoc="0" locked="0" layoutInCell="1" allowOverlap="1">
                <wp:simplePos x="0" y="0"/>
                <wp:positionH relativeFrom="column">
                  <wp:posOffset>-50165</wp:posOffset>
                </wp:positionH>
                <wp:positionV relativeFrom="paragraph">
                  <wp:posOffset>307975</wp:posOffset>
                </wp:positionV>
                <wp:extent cx="5342890" cy="8890"/>
                <wp:effectExtent l="0" t="4445" r="3810" b="5715"/>
                <wp:wrapNone/>
                <wp:docPr id="2" name="直接连接符 2"/>
                <wp:cNvGraphicFramePr/>
                <a:graphic xmlns:a="http://schemas.openxmlformats.org/drawingml/2006/main">
                  <a:graphicData uri="http://schemas.microsoft.com/office/word/2010/wordprocessingShape">
                    <wps:wsp>
                      <wps:cNvCnPr/>
                      <wps:spPr>
                        <a:xfrm flipV="1">
                          <a:off x="0" y="0"/>
                          <a:ext cx="5342890" cy="8890"/>
                        </a:xfrm>
                        <a:prstGeom prst="line">
                          <a:avLst/>
                        </a:prstGeom>
                        <a:noFill/>
                        <a:ln w="6350" cap="flat" cmpd="sng" algn="ctr">
                          <a:solidFill>
                            <a:sysClr val="windowText" lastClr="000000"/>
                          </a:solidFill>
                          <a:prstDash val="solid"/>
                          <a:miter lim="800000"/>
                        </a:ln>
                        <a:effectLst/>
                      </wps:spPr>
                      <wps:style>
                        <a:lnRef idx="1">
                          <a:schemeClr val="dk1"/>
                        </a:lnRef>
                        <a:fillRef idx="0">
                          <a:schemeClr val="dk1"/>
                        </a:fillRef>
                        <a:effectRef idx="0">
                          <a:schemeClr val="dk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flip:y;margin-left:-3.95pt;margin-top:24.25pt;height:0.7pt;width:420.7pt;z-index:251660288;mso-width-relative:page;mso-height-relative:page;" filled="f" stroked="t" coordsize="21600,21600" o:gfxdata="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I6sWxrXAAAACAEAAA8AAAAAAAAAAQAgAAAAIgAAAGRycy9kb3ducmV2&#10;LnhtbFBLAQIUABQAAAAIAIdO4kD1v6Ms/QEAAOADAAAOAAAAAAAAAAEAIAAAACYBAABkcnMvZTJv&#10;RG9jLnhtbFBLBQYAAAAABgAGAFkBAACVBQAAAAA=&#10;">
                <v:fill on="f" focussize="0,0"/>
                <v:stroke weight="0.5pt" color="#000000 [3200]" miterlimit="8" joinstyle="miter"/>
                <v:imagedata o:title=""/>
                <o:lock v:ext="edit" aspectratio="f"/>
              </v:line>
            </w:pict>
          </mc:Fallback>
        </mc:AlternateContent>
      </w:r>
      <w:proofErr w:type="spellStart"/>
      <w:r>
        <w:rPr>
          <w:rFonts w:ascii="黑体" w:eastAsia="黑体" w:hAnsi="黑体" w:cs="黑体" w:hint="eastAsia"/>
          <w:kern w:val="0"/>
          <w:sz w:val="28"/>
          <w:szCs w:val="28"/>
        </w:rPr>
        <w:t>xxxx</w:t>
      </w:r>
      <w:proofErr w:type="spellEnd"/>
      <w:r>
        <w:rPr>
          <w:rFonts w:ascii="黑体" w:eastAsia="黑体" w:hAnsi="黑体" w:cs="黑体" w:hint="eastAsia"/>
          <w:kern w:val="0"/>
          <w:sz w:val="28"/>
          <w:szCs w:val="28"/>
        </w:rPr>
        <w:t xml:space="preserve">-xx-xx发布                              </w:t>
      </w:r>
      <w:proofErr w:type="spellStart"/>
      <w:r>
        <w:rPr>
          <w:rFonts w:ascii="黑体" w:eastAsia="黑体" w:hAnsi="黑体" w:cs="黑体" w:hint="eastAsia"/>
          <w:kern w:val="0"/>
          <w:sz w:val="28"/>
          <w:szCs w:val="28"/>
        </w:rPr>
        <w:t>xxxx</w:t>
      </w:r>
      <w:proofErr w:type="spellEnd"/>
      <w:r>
        <w:rPr>
          <w:rFonts w:ascii="黑体" w:eastAsia="黑体" w:hAnsi="黑体" w:cs="黑体" w:hint="eastAsia"/>
          <w:kern w:val="0"/>
          <w:sz w:val="28"/>
          <w:szCs w:val="28"/>
        </w:rPr>
        <w:t>-xx-xx实施</w:t>
      </w:r>
    </w:p>
    <w:p w:rsidR="00BA6061" w:rsidRDefault="00610DB9">
      <w:pPr>
        <w:jc w:val="center"/>
        <w:rPr>
          <w:rFonts w:ascii="黑体" w:eastAsia="黑体" w:hAnsi="黑体" w:cs="黑体"/>
          <w:kern w:val="0"/>
          <w:sz w:val="28"/>
          <w:szCs w:val="28"/>
        </w:rPr>
        <w:sectPr w:rsidR="00BA6061">
          <w:footerReference w:type="default" r:id="rId10"/>
          <w:pgSz w:w="11906" w:h="16838"/>
          <w:pgMar w:top="1440" w:right="1800" w:bottom="1440" w:left="1800" w:header="851" w:footer="992" w:gutter="0"/>
          <w:cols w:space="425"/>
          <w:docGrid w:type="lines" w:linePitch="312"/>
        </w:sectPr>
      </w:pPr>
      <w:r>
        <w:rPr>
          <w:rFonts w:ascii="宋体" w:eastAsia="宋体" w:hAnsi="宋体" w:cs="宋体" w:hint="eastAsia"/>
          <w:kern w:val="0"/>
          <w:sz w:val="28"/>
          <w:szCs w:val="28"/>
        </w:rPr>
        <w:t>中国工程机械学会</w:t>
      </w:r>
      <w:r>
        <w:rPr>
          <w:rFonts w:ascii="黑体" w:eastAsia="黑体" w:hAnsi="黑体" w:cs="黑体" w:hint="eastAsia"/>
          <w:kern w:val="0"/>
          <w:sz w:val="28"/>
          <w:szCs w:val="28"/>
        </w:rPr>
        <w:t xml:space="preserve"> 发布</w:t>
      </w:r>
    </w:p>
    <w:p w:rsidR="00BA6061" w:rsidRDefault="00610DB9">
      <w:pPr>
        <w:jc w:val="center"/>
        <w:rPr>
          <w:rFonts w:ascii="宋体" w:eastAsia="宋体" w:hAnsi="宋体" w:cs="宋体"/>
          <w:kern w:val="0"/>
          <w:sz w:val="28"/>
          <w:szCs w:val="28"/>
        </w:rPr>
      </w:pPr>
      <w:r>
        <w:rPr>
          <w:rFonts w:ascii="宋体" w:eastAsia="宋体" w:hAnsi="宋体" w:cs="宋体" w:hint="eastAsia"/>
          <w:kern w:val="0"/>
          <w:sz w:val="28"/>
          <w:szCs w:val="28"/>
        </w:rPr>
        <w:lastRenderedPageBreak/>
        <w:t>前言</w:t>
      </w:r>
    </w:p>
    <w:p w:rsidR="00BA6061" w:rsidRDefault="00BA6061">
      <w:pPr>
        <w:jc w:val="center"/>
        <w:rPr>
          <w:rFonts w:ascii="宋体" w:eastAsia="宋体" w:hAnsi="宋体" w:cs="宋体"/>
          <w:kern w:val="0"/>
          <w:sz w:val="28"/>
          <w:szCs w:val="28"/>
        </w:rPr>
      </w:pPr>
    </w:p>
    <w:p w:rsidR="00BA6061" w:rsidRDefault="00610DB9">
      <w:pPr>
        <w:ind w:firstLineChars="200" w:firstLine="560"/>
        <w:jc w:val="left"/>
        <w:rPr>
          <w:rFonts w:ascii="宋体" w:eastAsia="宋体" w:hAnsi="宋体" w:cs="宋体"/>
          <w:kern w:val="0"/>
          <w:sz w:val="28"/>
          <w:szCs w:val="28"/>
        </w:rPr>
      </w:pPr>
      <w:r>
        <w:rPr>
          <w:rFonts w:ascii="宋体" w:eastAsia="宋体" w:hAnsi="宋体" w:cs="宋体" w:hint="eastAsia"/>
          <w:kern w:val="0"/>
          <w:sz w:val="28"/>
          <w:szCs w:val="28"/>
        </w:rPr>
        <w:t>本文件按照 GB/T 1.1-2020《标准化工作导则 第1部分:标准化文件的结构和起草规则》的规定起草。</w:t>
      </w:r>
    </w:p>
    <w:p w:rsidR="00BA6061" w:rsidRDefault="00610DB9">
      <w:pPr>
        <w:ind w:firstLineChars="200" w:firstLine="560"/>
        <w:jc w:val="left"/>
        <w:rPr>
          <w:rFonts w:ascii="宋体" w:eastAsia="宋体" w:hAnsi="宋体" w:cs="宋体"/>
          <w:kern w:val="0"/>
          <w:sz w:val="28"/>
          <w:szCs w:val="28"/>
        </w:rPr>
      </w:pPr>
      <w:r>
        <w:rPr>
          <w:rFonts w:ascii="宋体" w:eastAsia="宋体" w:hAnsi="宋体" w:cs="宋体" w:hint="eastAsia"/>
          <w:kern w:val="0"/>
          <w:sz w:val="28"/>
          <w:szCs w:val="28"/>
        </w:rPr>
        <w:t>请注意本文件的某些内容可能涉及专利。本文件的发布机构不承担识别专利的责任。</w:t>
      </w:r>
    </w:p>
    <w:p w:rsidR="00BA6061" w:rsidRDefault="00610DB9">
      <w:pPr>
        <w:ind w:firstLineChars="200" w:firstLine="560"/>
        <w:jc w:val="left"/>
        <w:rPr>
          <w:rFonts w:ascii="宋体" w:eastAsia="宋体" w:hAnsi="宋体" w:cs="宋体"/>
          <w:kern w:val="0"/>
          <w:sz w:val="28"/>
          <w:szCs w:val="28"/>
        </w:rPr>
      </w:pPr>
      <w:r>
        <w:rPr>
          <w:rFonts w:ascii="宋体" w:eastAsia="宋体" w:hAnsi="宋体" w:cs="宋体" w:hint="eastAsia"/>
          <w:kern w:val="0"/>
          <w:sz w:val="28"/>
          <w:szCs w:val="28"/>
        </w:rPr>
        <w:t>本文件由中国工程机械学会提出并归口。</w:t>
      </w:r>
    </w:p>
    <w:p w:rsidR="00BA6061" w:rsidRDefault="00610DB9">
      <w:pPr>
        <w:ind w:firstLineChars="200" w:firstLine="560"/>
        <w:jc w:val="left"/>
        <w:rPr>
          <w:rFonts w:ascii="宋体" w:eastAsia="宋体" w:hAnsi="宋体" w:cs="宋体"/>
          <w:kern w:val="0"/>
          <w:sz w:val="28"/>
          <w:szCs w:val="28"/>
        </w:rPr>
      </w:pPr>
      <w:r>
        <w:rPr>
          <w:rFonts w:ascii="宋体" w:eastAsia="宋体" w:hAnsi="宋体" w:cs="宋体" w:hint="eastAsia"/>
          <w:kern w:val="0"/>
          <w:sz w:val="28"/>
          <w:szCs w:val="28"/>
        </w:rPr>
        <w:t>本文件起草单位:</w:t>
      </w:r>
      <w:proofErr w:type="spellStart"/>
      <w:proofErr w:type="gramStart"/>
      <w:r>
        <w:rPr>
          <w:rFonts w:ascii="宋体" w:eastAsia="宋体" w:hAnsi="宋体" w:cs="宋体" w:hint="eastAsia"/>
          <w:kern w:val="0"/>
          <w:sz w:val="28"/>
          <w:szCs w:val="28"/>
        </w:rPr>
        <w:t>xxxxxxx</w:t>
      </w:r>
      <w:proofErr w:type="spellEnd"/>
      <w:proofErr w:type="gramEnd"/>
    </w:p>
    <w:p w:rsidR="00BA6061" w:rsidRDefault="00610DB9">
      <w:pPr>
        <w:ind w:firstLineChars="200" w:firstLine="560"/>
        <w:jc w:val="left"/>
        <w:rPr>
          <w:rFonts w:ascii="宋体" w:eastAsia="宋体" w:hAnsi="宋体" w:cs="宋体"/>
          <w:kern w:val="0"/>
          <w:sz w:val="28"/>
          <w:szCs w:val="28"/>
        </w:rPr>
        <w:sectPr w:rsidR="00BA6061">
          <w:pgSz w:w="11906" w:h="16838"/>
          <w:pgMar w:top="1440" w:right="1800" w:bottom="1440" w:left="1800" w:header="851" w:footer="992" w:gutter="0"/>
          <w:cols w:space="425"/>
          <w:docGrid w:type="lines" w:linePitch="312"/>
        </w:sectPr>
      </w:pPr>
      <w:r>
        <w:rPr>
          <w:rFonts w:ascii="宋体" w:eastAsia="宋体" w:hAnsi="宋体" w:cs="宋体" w:hint="eastAsia"/>
          <w:kern w:val="0"/>
          <w:sz w:val="28"/>
          <w:szCs w:val="28"/>
        </w:rPr>
        <w:t>本文件主要起草人:</w:t>
      </w:r>
      <w:proofErr w:type="spellStart"/>
      <w:proofErr w:type="gramStart"/>
      <w:r>
        <w:rPr>
          <w:rFonts w:ascii="宋体" w:eastAsia="宋体" w:hAnsi="宋体" w:cs="宋体" w:hint="eastAsia"/>
          <w:kern w:val="0"/>
          <w:sz w:val="28"/>
          <w:szCs w:val="28"/>
        </w:rPr>
        <w:t>xxxxx</w:t>
      </w:r>
      <w:proofErr w:type="spellEnd"/>
      <w:proofErr w:type="gramEnd"/>
    </w:p>
    <w:p w:rsidR="00BA6061" w:rsidRDefault="00610DB9">
      <w:pPr>
        <w:pStyle w:val="2"/>
        <w:jc w:val="center"/>
      </w:pPr>
      <w:bookmarkStart w:id="5" w:name="_Toc4294"/>
      <w:bookmarkStart w:id="6" w:name="_Toc13604"/>
      <w:bookmarkStart w:id="7" w:name="_Toc22250"/>
      <w:bookmarkStart w:id="8" w:name="_Toc223533683"/>
      <w:bookmarkStart w:id="9" w:name="_Toc223534119"/>
      <w:bookmarkStart w:id="10" w:name="_Toc223535301"/>
      <w:bookmarkStart w:id="11" w:name="_Toc16656"/>
      <w:bookmarkStart w:id="12" w:name="_Toc4056"/>
      <w:bookmarkStart w:id="13" w:name="_Toc223535203"/>
      <w:bookmarkStart w:id="14" w:name="_Toc223533761"/>
      <w:bookmarkStart w:id="15" w:name="_Toc224026596"/>
      <w:r>
        <w:rPr>
          <w:rFonts w:hint="eastAsia"/>
        </w:rPr>
        <w:lastRenderedPageBreak/>
        <w:t>目</w:t>
      </w:r>
      <w:r>
        <w:rPr>
          <w:rFonts w:hint="eastAsia"/>
        </w:rPr>
        <w:t xml:space="preserve">    </w:t>
      </w:r>
      <w:r>
        <w:rPr>
          <w:rFonts w:hint="eastAsia"/>
        </w:rPr>
        <w:t>录</w:t>
      </w:r>
      <w:bookmarkEnd w:id="5"/>
      <w:bookmarkEnd w:id="6"/>
      <w:bookmarkEnd w:id="7"/>
      <w:bookmarkEnd w:id="8"/>
      <w:bookmarkEnd w:id="9"/>
      <w:bookmarkEnd w:id="10"/>
      <w:bookmarkEnd w:id="11"/>
      <w:bookmarkEnd w:id="12"/>
      <w:bookmarkEnd w:id="13"/>
      <w:bookmarkEnd w:id="14"/>
      <w:bookmarkEnd w:id="15"/>
    </w:p>
    <w:sdt>
      <w:sdtPr>
        <w:rPr>
          <w:szCs w:val="22"/>
          <w:lang w:val="zh-CN"/>
        </w:rPr>
        <w:id w:val="1414973290"/>
        <w:docPartObj>
          <w:docPartGallery w:val="Table of Contents"/>
          <w:docPartUnique/>
        </w:docPartObj>
      </w:sdtPr>
      <w:sdtEndPr>
        <w:rPr>
          <w:b/>
          <w:bCs/>
          <w:sz w:val="24"/>
        </w:rPr>
      </w:sdtEndPr>
      <w:sdtContent>
        <w:p w:rsidR="00A40DA6" w:rsidRPr="00A40DA6" w:rsidRDefault="00610DB9" w:rsidP="00A40DA6">
          <w:pPr>
            <w:pStyle w:val="20"/>
            <w:tabs>
              <w:tab w:val="right" w:leader="dot" w:pos="8296"/>
            </w:tabs>
            <w:spacing w:line="324" w:lineRule="auto"/>
            <w:ind w:leftChars="0" w:left="0"/>
            <w:rPr>
              <w:noProof/>
              <w:sz w:val="24"/>
            </w:rPr>
          </w:pPr>
          <w:r>
            <w:rPr>
              <w:sz w:val="24"/>
            </w:rPr>
            <w:fldChar w:fldCharType="begin"/>
          </w:r>
          <w:r>
            <w:rPr>
              <w:sz w:val="24"/>
            </w:rPr>
            <w:instrText xml:space="preserve"> TOC \o "1-3" \h \z \u </w:instrText>
          </w:r>
          <w:r>
            <w:rPr>
              <w:sz w:val="24"/>
            </w:rPr>
            <w:fldChar w:fldCharType="separate"/>
          </w:r>
          <w:hyperlink w:anchor="_Toc224026597" w:history="1">
            <w:r w:rsidR="00A40DA6" w:rsidRPr="00A40DA6">
              <w:rPr>
                <w:rStyle w:val="ab"/>
                <w:rFonts w:ascii="黑体" w:eastAsia="黑体" w:hAnsi="黑体" w:cs="黑体"/>
                <w:noProof/>
                <w:sz w:val="24"/>
              </w:rPr>
              <w:t>1</w:t>
            </w:r>
            <w:r w:rsidR="00A40DA6" w:rsidRPr="00A40DA6">
              <w:rPr>
                <w:rStyle w:val="ab"/>
                <w:rFonts w:hint="eastAsia"/>
                <w:noProof/>
                <w:sz w:val="24"/>
              </w:rPr>
              <w:t xml:space="preserve"> </w:t>
            </w:r>
            <w:r w:rsidR="00A40DA6" w:rsidRPr="00A40DA6">
              <w:rPr>
                <w:rStyle w:val="ab"/>
                <w:rFonts w:hint="eastAsia"/>
                <w:noProof/>
                <w:sz w:val="24"/>
              </w:rPr>
              <w:t>总则</w:t>
            </w:r>
            <w:r w:rsidR="00A40DA6" w:rsidRPr="00A40DA6">
              <w:rPr>
                <w:noProof/>
                <w:webHidden/>
                <w:sz w:val="24"/>
              </w:rPr>
              <w:tab/>
            </w:r>
            <w:r w:rsidR="00A40DA6" w:rsidRPr="00A40DA6">
              <w:rPr>
                <w:noProof/>
                <w:webHidden/>
                <w:sz w:val="24"/>
              </w:rPr>
              <w:fldChar w:fldCharType="begin"/>
            </w:r>
            <w:r w:rsidR="00A40DA6" w:rsidRPr="00A40DA6">
              <w:rPr>
                <w:noProof/>
                <w:webHidden/>
                <w:sz w:val="24"/>
              </w:rPr>
              <w:instrText xml:space="preserve"> PAGEREF _Toc224026597 \h </w:instrText>
            </w:r>
            <w:r w:rsidR="00A40DA6" w:rsidRPr="00A40DA6">
              <w:rPr>
                <w:noProof/>
                <w:webHidden/>
                <w:sz w:val="24"/>
              </w:rPr>
            </w:r>
            <w:r w:rsidR="00A40DA6" w:rsidRPr="00A40DA6">
              <w:rPr>
                <w:noProof/>
                <w:webHidden/>
                <w:sz w:val="24"/>
              </w:rPr>
              <w:fldChar w:fldCharType="separate"/>
            </w:r>
            <w:r w:rsidR="00A40DA6" w:rsidRPr="00A40DA6">
              <w:rPr>
                <w:noProof/>
                <w:webHidden/>
                <w:sz w:val="24"/>
              </w:rPr>
              <w:t>1</w:t>
            </w:r>
            <w:r w:rsidR="00A40DA6" w:rsidRPr="00A40DA6">
              <w:rPr>
                <w:noProof/>
                <w:webHidden/>
                <w:sz w:val="24"/>
              </w:rPr>
              <w:fldChar w:fldCharType="end"/>
            </w:r>
          </w:hyperlink>
        </w:p>
        <w:p w:rsidR="00A40DA6" w:rsidRPr="00A40DA6" w:rsidRDefault="00732A3C" w:rsidP="00A40DA6">
          <w:pPr>
            <w:pStyle w:val="10"/>
            <w:tabs>
              <w:tab w:val="right" w:leader="dot" w:pos="8296"/>
            </w:tabs>
            <w:spacing w:line="324" w:lineRule="auto"/>
            <w:rPr>
              <w:noProof/>
              <w:sz w:val="24"/>
            </w:rPr>
          </w:pPr>
          <w:hyperlink w:anchor="_Toc224026598" w:history="1">
            <w:r w:rsidR="00A40DA6" w:rsidRPr="00A40DA6">
              <w:rPr>
                <w:rStyle w:val="ab"/>
                <w:rFonts w:ascii="黑体" w:eastAsia="黑体" w:hAnsi="黑体" w:cs="黑体"/>
                <w:noProof/>
                <w:sz w:val="24"/>
              </w:rPr>
              <w:t>2</w:t>
            </w:r>
            <w:r w:rsidR="00A40DA6" w:rsidRPr="00A40DA6">
              <w:rPr>
                <w:rStyle w:val="ab"/>
                <w:rFonts w:hint="eastAsia"/>
                <w:noProof/>
                <w:sz w:val="24"/>
              </w:rPr>
              <w:t xml:space="preserve"> </w:t>
            </w:r>
            <w:r w:rsidR="00A40DA6" w:rsidRPr="00A40DA6">
              <w:rPr>
                <w:rStyle w:val="ab"/>
                <w:rFonts w:hint="eastAsia"/>
                <w:noProof/>
                <w:sz w:val="24"/>
              </w:rPr>
              <w:t>术语</w:t>
            </w:r>
            <w:r w:rsidR="00A40DA6" w:rsidRPr="00A40DA6">
              <w:rPr>
                <w:noProof/>
                <w:webHidden/>
                <w:sz w:val="24"/>
              </w:rPr>
              <w:tab/>
            </w:r>
            <w:r w:rsidR="00A40DA6" w:rsidRPr="00A40DA6">
              <w:rPr>
                <w:noProof/>
                <w:webHidden/>
                <w:sz w:val="24"/>
              </w:rPr>
              <w:fldChar w:fldCharType="begin"/>
            </w:r>
            <w:r w:rsidR="00A40DA6" w:rsidRPr="00A40DA6">
              <w:rPr>
                <w:noProof/>
                <w:webHidden/>
                <w:sz w:val="24"/>
              </w:rPr>
              <w:instrText xml:space="preserve"> PAGEREF _Toc224026598 \h </w:instrText>
            </w:r>
            <w:r w:rsidR="00A40DA6" w:rsidRPr="00A40DA6">
              <w:rPr>
                <w:noProof/>
                <w:webHidden/>
                <w:sz w:val="24"/>
              </w:rPr>
            </w:r>
            <w:r w:rsidR="00A40DA6" w:rsidRPr="00A40DA6">
              <w:rPr>
                <w:noProof/>
                <w:webHidden/>
                <w:sz w:val="24"/>
              </w:rPr>
              <w:fldChar w:fldCharType="separate"/>
            </w:r>
            <w:r w:rsidR="00A40DA6" w:rsidRPr="00A40DA6">
              <w:rPr>
                <w:noProof/>
                <w:webHidden/>
                <w:sz w:val="24"/>
              </w:rPr>
              <w:t>2</w:t>
            </w:r>
            <w:r w:rsidR="00A40DA6" w:rsidRPr="00A40DA6">
              <w:rPr>
                <w:noProof/>
                <w:webHidden/>
                <w:sz w:val="24"/>
              </w:rPr>
              <w:fldChar w:fldCharType="end"/>
            </w:r>
          </w:hyperlink>
        </w:p>
        <w:p w:rsidR="00A40DA6" w:rsidRPr="00A40DA6" w:rsidRDefault="00732A3C" w:rsidP="00A40DA6">
          <w:pPr>
            <w:pStyle w:val="10"/>
            <w:tabs>
              <w:tab w:val="right" w:leader="dot" w:pos="8296"/>
            </w:tabs>
            <w:spacing w:line="324" w:lineRule="auto"/>
            <w:rPr>
              <w:noProof/>
              <w:sz w:val="24"/>
            </w:rPr>
          </w:pPr>
          <w:hyperlink w:anchor="_Toc224026599" w:history="1">
            <w:r w:rsidR="00A40DA6" w:rsidRPr="00A40DA6">
              <w:rPr>
                <w:rStyle w:val="ab"/>
                <w:rFonts w:ascii="黑体" w:eastAsia="黑体" w:hAnsi="黑体" w:cs="黑体"/>
                <w:noProof/>
                <w:sz w:val="24"/>
              </w:rPr>
              <w:t>3</w:t>
            </w:r>
            <w:r w:rsidR="00A40DA6" w:rsidRPr="00A40DA6">
              <w:rPr>
                <w:rStyle w:val="ab"/>
                <w:rFonts w:hint="eastAsia"/>
                <w:noProof/>
                <w:sz w:val="24"/>
              </w:rPr>
              <w:t xml:space="preserve"> </w:t>
            </w:r>
            <w:r w:rsidR="00A40DA6" w:rsidRPr="00A40DA6">
              <w:rPr>
                <w:rStyle w:val="ab"/>
                <w:rFonts w:hint="eastAsia"/>
                <w:noProof/>
                <w:sz w:val="24"/>
              </w:rPr>
              <w:t>基本规定</w:t>
            </w:r>
            <w:r w:rsidR="00A40DA6" w:rsidRPr="00A40DA6">
              <w:rPr>
                <w:noProof/>
                <w:webHidden/>
                <w:sz w:val="24"/>
              </w:rPr>
              <w:tab/>
            </w:r>
            <w:r w:rsidR="00A40DA6" w:rsidRPr="00A40DA6">
              <w:rPr>
                <w:noProof/>
                <w:webHidden/>
                <w:sz w:val="24"/>
              </w:rPr>
              <w:fldChar w:fldCharType="begin"/>
            </w:r>
            <w:r w:rsidR="00A40DA6" w:rsidRPr="00A40DA6">
              <w:rPr>
                <w:noProof/>
                <w:webHidden/>
                <w:sz w:val="24"/>
              </w:rPr>
              <w:instrText xml:space="preserve"> PAGEREF _Toc224026599 \h </w:instrText>
            </w:r>
            <w:r w:rsidR="00A40DA6" w:rsidRPr="00A40DA6">
              <w:rPr>
                <w:noProof/>
                <w:webHidden/>
                <w:sz w:val="24"/>
              </w:rPr>
            </w:r>
            <w:r w:rsidR="00A40DA6" w:rsidRPr="00A40DA6">
              <w:rPr>
                <w:noProof/>
                <w:webHidden/>
                <w:sz w:val="24"/>
              </w:rPr>
              <w:fldChar w:fldCharType="separate"/>
            </w:r>
            <w:r w:rsidR="00A40DA6" w:rsidRPr="00A40DA6">
              <w:rPr>
                <w:noProof/>
                <w:webHidden/>
                <w:sz w:val="24"/>
              </w:rPr>
              <w:t>3</w:t>
            </w:r>
            <w:r w:rsidR="00A40DA6" w:rsidRPr="00A40DA6">
              <w:rPr>
                <w:noProof/>
                <w:webHidden/>
                <w:sz w:val="24"/>
              </w:rPr>
              <w:fldChar w:fldCharType="end"/>
            </w:r>
          </w:hyperlink>
        </w:p>
        <w:p w:rsidR="00A40DA6" w:rsidRPr="00A40DA6" w:rsidRDefault="00732A3C" w:rsidP="00A40DA6">
          <w:pPr>
            <w:pStyle w:val="10"/>
            <w:tabs>
              <w:tab w:val="right" w:leader="dot" w:pos="8296"/>
            </w:tabs>
            <w:spacing w:line="324" w:lineRule="auto"/>
            <w:rPr>
              <w:noProof/>
              <w:sz w:val="24"/>
            </w:rPr>
          </w:pPr>
          <w:hyperlink w:anchor="_Toc224026600" w:history="1">
            <w:r w:rsidR="00A40DA6" w:rsidRPr="00A40DA6">
              <w:rPr>
                <w:rStyle w:val="ab"/>
                <w:rFonts w:ascii="黑体" w:eastAsia="黑体" w:hAnsi="黑体" w:cs="黑体"/>
                <w:noProof/>
                <w:sz w:val="24"/>
              </w:rPr>
              <w:t>4</w:t>
            </w:r>
            <w:r w:rsidR="00A40DA6" w:rsidRPr="00A40DA6">
              <w:rPr>
                <w:rStyle w:val="ab"/>
                <w:rFonts w:hint="eastAsia"/>
                <w:noProof/>
                <w:sz w:val="24"/>
              </w:rPr>
              <w:t xml:space="preserve"> </w:t>
            </w:r>
            <w:r w:rsidR="00A40DA6" w:rsidRPr="00A40DA6">
              <w:rPr>
                <w:rStyle w:val="ab"/>
                <w:rFonts w:hint="eastAsia"/>
                <w:noProof/>
                <w:sz w:val="24"/>
              </w:rPr>
              <w:t>同步施工荷载与作用</w:t>
            </w:r>
            <w:r w:rsidR="00A40DA6" w:rsidRPr="00A40DA6">
              <w:rPr>
                <w:noProof/>
                <w:webHidden/>
                <w:sz w:val="24"/>
              </w:rPr>
              <w:tab/>
            </w:r>
            <w:r w:rsidR="00A40DA6" w:rsidRPr="00A40DA6">
              <w:rPr>
                <w:noProof/>
                <w:webHidden/>
                <w:sz w:val="24"/>
              </w:rPr>
              <w:fldChar w:fldCharType="begin"/>
            </w:r>
            <w:r w:rsidR="00A40DA6" w:rsidRPr="00A40DA6">
              <w:rPr>
                <w:noProof/>
                <w:webHidden/>
                <w:sz w:val="24"/>
              </w:rPr>
              <w:instrText xml:space="preserve"> PAGEREF _Toc224026600 \h </w:instrText>
            </w:r>
            <w:r w:rsidR="00A40DA6" w:rsidRPr="00A40DA6">
              <w:rPr>
                <w:noProof/>
                <w:webHidden/>
                <w:sz w:val="24"/>
              </w:rPr>
            </w:r>
            <w:r w:rsidR="00A40DA6" w:rsidRPr="00A40DA6">
              <w:rPr>
                <w:noProof/>
                <w:webHidden/>
                <w:sz w:val="24"/>
              </w:rPr>
              <w:fldChar w:fldCharType="separate"/>
            </w:r>
            <w:r w:rsidR="00A40DA6" w:rsidRPr="00A40DA6">
              <w:rPr>
                <w:noProof/>
                <w:webHidden/>
                <w:sz w:val="24"/>
              </w:rPr>
              <w:t>5</w:t>
            </w:r>
            <w:r w:rsidR="00A40DA6" w:rsidRPr="00A40DA6">
              <w:rPr>
                <w:noProof/>
                <w:webHidden/>
                <w:sz w:val="24"/>
              </w:rPr>
              <w:fldChar w:fldCharType="end"/>
            </w:r>
          </w:hyperlink>
        </w:p>
        <w:p w:rsidR="00A40DA6" w:rsidRPr="00A40DA6" w:rsidRDefault="00732A3C" w:rsidP="00A40DA6">
          <w:pPr>
            <w:pStyle w:val="10"/>
            <w:tabs>
              <w:tab w:val="right" w:leader="dot" w:pos="8296"/>
            </w:tabs>
            <w:spacing w:line="324" w:lineRule="auto"/>
            <w:rPr>
              <w:noProof/>
              <w:sz w:val="24"/>
            </w:rPr>
          </w:pPr>
          <w:hyperlink w:anchor="_Toc224026601" w:history="1">
            <w:r w:rsidR="00A40DA6" w:rsidRPr="00A40DA6">
              <w:rPr>
                <w:rStyle w:val="ab"/>
                <w:rFonts w:ascii="黑体" w:eastAsia="黑体" w:hAnsi="黑体" w:cs="黑体"/>
                <w:noProof/>
                <w:sz w:val="24"/>
              </w:rPr>
              <w:t>5</w:t>
            </w:r>
            <w:r w:rsidR="00A40DA6" w:rsidRPr="00A40DA6">
              <w:rPr>
                <w:rStyle w:val="ab"/>
                <w:rFonts w:hint="eastAsia"/>
                <w:noProof/>
                <w:sz w:val="24"/>
              </w:rPr>
              <w:t xml:space="preserve"> </w:t>
            </w:r>
            <w:r w:rsidR="00A40DA6" w:rsidRPr="00A40DA6">
              <w:rPr>
                <w:rStyle w:val="ab"/>
                <w:rFonts w:hint="eastAsia"/>
                <w:noProof/>
                <w:sz w:val="24"/>
              </w:rPr>
              <w:t>同步施工总体设计</w:t>
            </w:r>
            <w:r w:rsidR="00A40DA6" w:rsidRPr="00A40DA6">
              <w:rPr>
                <w:noProof/>
                <w:webHidden/>
                <w:sz w:val="24"/>
              </w:rPr>
              <w:tab/>
            </w:r>
            <w:r w:rsidR="00A40DA6" w:rsidRPr="00A40DA6">
              <w:rPr>
                <w:noProof/>
                <w:webHidden/>
                <w:sz w:val="24"/>
              </w:rPr>
              <w:fldChar w:fldCharType="begin"/>
            </w:r>
            <w:r w:rsidR="00A40DA6" w:rsidRPr="00A40DA6">
              <w:rPr>
                <w:noProof/>
                <w:webHidden/>
                <w:sz w:val="24"/>
              </w:rPr>
              <w:instrText xml:space="preserve"> PAGEREF _Toc224026601 \h </w:instrText>
            </w:r>
            <w:r w:rsidR="00A40DA6" w:rsidRPr="00A40DA6">
              <w:rPr>
                <w:noProof/>
                <w:webHidden/>
                <w:sz w:val="24"/>
              </w:rPr>
            </w:r>
            <w:r w:rsidR="00A40DA6" w:rsidRPr="00A40DA6">
              <w:rPr>
                <w:noProof/>
                <w:webHidden/>
                <w:sz w:val="24"/>
              </w:rPr>
              <w:fldChar w:fldCharType="separate"/>
            </w:r>
            <w:r w:rsidR="00A40DA6" w:rsidRPr="00A40DA6">
              <w:rPr>
                <w:noProof/>
                <w:webHidden/>
                <w:sz w:val="24"/>
              </w:rPr>
              <w:t>8</w:t>
            </w:r>
            <w:r w:rsidR="00A40DA6" w:rsidRPr="00A40DA6">
              <w:rPr>
                <w:noProof/>
                <w:webHidden/>
                <w:sz w:val="24"/>
              </w:rPr>
              <w:fldChar w:fldCharType="end"/>
            </w:r>
          </w:hyperlink>
        </w:p>
        <w:p w:rsidR="00A40DA6" w:rsidRPr="00A40DA6" w:rsidRDefault="00732A3C" w:rsidP="00A40DA6">
          <w:pPr>
            <w:pStyle w:val="20"/>
            <w:tabs>
              <w:tab w:val="right" w:leader="dot" w:pos="8296"/>
            </w:tabs>
            <w:spacing w:line="324" w:lineRule="auto"/>
            <w:rPr>
              <w:noProof/>
              <w:sz w:val="24"/>
            </w:rPr>
          </w:pPr>
          <w:hyperlink w:anchor="_Toc224026602" w:history="1">
            <w:r w:rsidR="00A40DA6" w:rsidRPr="00A40DA6">
              <w:rPr>
                <w:rStyle w:val="ab"/>
                <w:rFonts w:ascii="黑体" w:hAnsi="黑体" w:cs="黑体"/>
                <w:noProof/>
                <w:sz w:val="24"/>
              </w:rPr>
              <w:t>5.1</w:t>
            </w:r>
            <w:r w:rsidR="00A40DA6" w:rsidRPr="00A40DA6">
              <w:rPr>
                <w:rStyle w:val="ab"/>
                <w:rFonts w:ascii="黑体" w:hAnsi="黑体" w:cs="黑体" w:hint="eastAsia"/>
                <w:noProof/>
                <w:sz w:val="24"/>
              </w:rPr>
              <w:t xml:space="preserve"> </w:t>
            </w:r>
            <w:r w:rsidR="00A40DA6" w:rsidRPr="00A40DA6">
              <w:rPr>
                <w:rStyle w:val="ab"/>
                <w:rFonts w:ascii="黑体" w:hAnsi="黑体" w:cs="黑体" w:hint="eastAsia"/>
                <w:noProof/>
                <w:sz w:val="24"/>
              </w:rPr>
              <w:t>一般规定</w:t>
            </w:r>
            <w:r w:rsidR="00A40DA6" w:rsidRPr="00A40DA6">
              <w:rPr>
                <w:noProof/>
                <w:webHidden/>
                <w:sz w:val="24"/>
              </w:rPr>
              <w:tab/>
            </w:r>
            <w:r w:rsidR="00A40DA6" w:rsidRPr="00A40DA6">
              <w:rPr>
                <w:noProof/>
                <w:webHidden/>
                <w:sz w:val="24"/>
              </w:rPr>
              <w:fldChar w:fldCharType="begin"/>
            </w:r>
            <w:r w:rsidR="00A40DA6" w:rsidRPr="00A40DA6">
              <w:rPr>
                <w:noProof/>
                <w:webHidden/>
                <w:sz w:val="24"/>
              </w:rPr>
              <w:instrText xml:space="preserve"> PAGEREF _Toc224026602 \h </w:instrText>
            </w:r>
            <w:r w:rsidR="00A40DA6" w:rsidRPr="00A40DA6">
              <w:rPr>
                <w:noProof/>
                <w:webHidden/>
                <w:sz w:val="24"/>
              </w:rPr>
            </w:r>
            <w:r w:rsidR="00A40DA6" w:rsidRPr="00A40DA6">
              <w:rPr>
                <w:noProof/>
                <w:webHidden/>
                <w:sz w:val="24"/>
              </w:rPr>
              <w:fldChar w:fldCharType="separate"/>
            </w:r>
            <w:r w:rsidR="00A40DA6" w:rsidRPr="00A40DA6">
              <w:rPr>
                <w:noProof/>
                <w:webHidden/>
                <w:sz w:val="24"/>
              </w:rPr>
              <w:t>8</w:t>
            </w:r>
            <w:r w:rsidR="00A40DA6" w:rsidRPr="00A40DA6">
              <w:rPr>
                <w:noProof/>
                <w:webHidden/>
                <w:sz w:val="24"/>
              </w:rPr>
              <w:fldChar w:fldCharType="end"/>
            </w:r>
          </w:hyperlink>
        </w:p>
        <w:p w:rsidR="00A40DA6" w:rsidRPr="00A40DA6" w:rsidRDefault="00732A3C" w:rsidP="00A40DA6">
          <w:pPr>
            <w:pStyle w:val="20"/>
            <w:tabs>
              <w:tab w:val="right" w:leader="dot" w:pos="8296"/>
            </w:tabs>
            <w:spacing w:line="324" w:lineRule="auto"/>
            <w:rPr>
              <w:noProof/>
              <w:sz w:val="24"/>
            </w:rPr>
          </w:pPr>
          <w:hyperlink w:anchor="_Toc224026603" w:history="1">
            <w:r w:rsidR="00A40DA6" w:rsidRPr="00A40DA6">
              <w:rPr>
                <w:rStyle w:val="ab"/>
                <w:rFonts w:ascii="黑体" w:hAnsi="黑体" w:cs="黑体"/>
                <w:noProof/>
                <w:sz w:val="24"/>
              </w:rPr>
              <w:t>5.2</w:t>
            </w:r>
            <w:r w:rsidR="00A40DA6" w:rsidRPr="00A40DA6">
              <w:rPr>
                <w:rStyle w:val="ab"/>
                <w:rFonts w:ascii="黑体" w:hAnsi="黑体" w:cs="黑体" w:hint="eastAsia"/>
                <w:noProof/>
                <w:sz w:val="24"/>
              </w:rPr>
              <w:t xml:space="preserve"> </w:t>
            </w:r>
            <w:r w:rsidR="00A40DA6" w:rsidRPr="00A40DA6">
              <w:rPr>
                <w:rStyle w:val="ab"/>
                <w:rFonts w:ascii="黑体" w:hAnsi="黑体" w:cs="黑体" w:hint="eastAsia"/>
                <w:noProof/>
                <w:sz w:val="24"/>
              </w:rPr>
              <w:t>总体设计</w:t>
            </w:r>
            <w:r w:rsidR="00A40DA6" w:rsidRPr="00A40DA6">
              <w:rPr>
                <w:noProof/>
                <w:webHidden/>
                <w:sz w:val="24"/>
              </w:rPr>
              <w:tab/>
            </w:r>
            <w:r w:rsidR="00A40DA6" w:rsidRPr="00A40DA6">
              <w:rPr>
                <w:noProof/>
                <w:webHidden/>
                <w:sz w:val="24"/>
              </w:rPr>
              <w:fldChar w:fldCharType="begin"/>
            </w:r>
            <w:r w:rsidR="00A40DA6" w:rsidRPr="00A40DA6">
              <w:rPr>
                <w:noProof/>
                <w:webHidden/>
                <w:sz w:val="24"/>
              </w:rPr>
              <w:instrText xml:space="preserve"> PAGEREF _Toc224026603 \h </w:instrText>
            </w:r>
            <w:r w:rsidR="00A40DA6" w:rsidRPr="00A40DA6">
              <w:rPr>
                <w:noProof/>
                <w:webHidden/>
                <w:sz w:val="24"/>
              </w:rPr>
            </w:r>
            <w:r w:rsidR="00A40DA6" w:rsidRPr="00A40DA6">
              <w:rPr>
                <w:noProof/>
                <w:webHidden/>
                <w:sz w:val="24"/>
              </w:rPr>
              <w:fldChar w:fldCharType="separate"/>
            </w:r>
            <w:r w:rsidR="00A40DA6" w:rsidRPr="00A40DA6">
              <w:rPr>
                <w:noProof/>
                <w:webHidden/>
                <w:sz w:val="24"/>
              </w:rPr>
              <w:t>9</w:t>
            </w:r>
            <w:r w:rsidR="00A40DA6" w:rsidRPr="00A40DA6">
              <w:rPr>
                <w:noProof/>
                <w:webHidden/>
                <w:sz w:val="24"/>
              </w:rPr>
              <w:fldChar w:fldCharType="end"/>
            </w:r>
          </w:hyperlink>
        </w:p>
        <w:p w:rsidR="00A40DA6" w:rsidRPr="00A40DA6" w:rsidRDefault="00732A3C" w:rsidP="00A40DA6">
          <w:pPr>
            <w:pStyle w:val="10"/>
            <w:tabs>
              <w:tab w:val="right" w:leader="dot" w:pos="8296"/>
            </w:tabs>
            <w:spacing w:line="324" w:lineRule="auto"/>
            <w:rPr>
              <w:noProof/>
              <w:sz w:val="24"/>
            </w:rPr>
          </w:pPr>
          <w:hyperlink w:anchor="_Toc224026604" w:history="1">
            <w:r w:rsidR="00A40DA6" w:rsidRPr="00A40DA6">
              <w:rPr>
                <w:rStyle w:val="ab"/>
                <w:rFonts w:ascii="黑体" w:eastAsia="黑体" w:hAnsi="黑体" w:cs="黑体"/>
                <w:noProof/>
                <w:sz w:val="24"/>
              </w:rPr>
              <w:t>6</w:t>
            </w:r>
            <w:r w:rsidR="00A40DA6" w:rsidRPr="00A40DA6">
              <w:rPr>
                <w:rStyle w:val="ab"/>
                <w:rFonts w:hint="eastAsia"/>
                <w:noProof/>
                <w:sz w:val="24"/>
              </w:rPr>
              <w:t xml:space="preserve"> </w:t>
            </w:r>
            <w:r w:rsidR="00A40DA6" w:rsidRPr="00A40DA6">
              <w:rPr>
                <w:rStyle w:val="ab"/>
                <w:rFonts w:hint="eastAsia"/>
                <w:noProof/>
                <w:sz w:val="24"/>
              </w:rPr>
              <w:t>同步提升结构设计</w:t>
            </w:r>
            <w:r w:rsidR="00A40DA6" w:rsidRPr="00A40DA6">
              <w:rPr>
                <w:noProof/>
                <w:webHidden/>
                <w:sz w:val="24"/>
              </w:rPr>
              <w:tab/>
            </w:r>
            <w:r w:rsidR="00A40DA6" w:rsidRPr="00A40DA6">
              <w:rPr>
                <w:noProof/>
                <w:webHidden/>
                <w:sz w:val="24"/>
              </w:rPr>
              <w:fldChar w:fldCharType="begin"/>
            </w:r>
            <w:r w:rsidR="00A40DA6" w:rsidRPr="00A40DA6">
              <w:rPr>
                <w:noProof/>
                <w:webHidden/>
                <w:sz w:val="24"/>
              </w:rPr>
              <w:instrText xml:space="preserve"> PAGEREF _Toc224026604 \h </w:instrText>
            </w:r>
            <w:r w:rsidR="00A40DA6" w:rsidRPr="00A40DA6">
              <w:rPr>
                <w:noProof/>
                <w:webHidden/>
                <w:sz w:val="24"/>
              </w:rPr>
            </w:r>
            <w:r w:rsidR="00A40DA6" w:rsidRPr="00A40DA6">
              <w:rPr>
                <w:noProof/>
                <w:webHidden/>
                <w:sz w:val="24"/>
              </w:rPr>
              <w:fldChar w:fldCharType="separate"/>
            </w:r>
            <w:r w:rsidR="00A40DA6" w:rsidRPr="00A40DA6">
              <w:rPr>
                <w:noProof/>
                <w:webHidden/>
                <w:sz w:val="24"/>
              </w:rPr>
              <w:t>12</w:t>
            </w:r>
            <w:r w:rsidR="00A40DA6" w:rsidRPr="00A40DA6">
              <w:rPr>
                <w:noProof/>
                <w:webHidden/>
                <w:sz w:val="24"/>
              </w:rPr>
              <w:fldChar w:fldCharType="end"/>
            </w:r>
          </w:hyperlink>
        </w:p>
        <w:p w:rsidR="00A40DA6" w:rsidRPr="00A40DA6" w:rsidRDefault="00732A3C" w:rsidP="00A40DA6">
          <w:pPr>
            <w:pStyle w:val="20"/>
            <w:tabs>
              <w:tab w:val="right" w:leader="dot" w:pos="8296"/>
            </w:tabs>
            <w:spacing w:line="324" w:lineRule="auto"/>
            <w:rPr>
              <w:noProof/>
              <w:sz w:val="24"/>
            </w:rPr>
          </w:pPr>
          <w:hyperlink w:anchor="_Toc224026605" w:history="1">
            <w:r w:rsidR="00A40DA6" w:rsidRPr="00A40DA6">
              <w:rPr>
                <w:rStyle w:val="ab"/>
                <w:rFonts w:ascii="黑体" w:hAnsi="黑体" w:cs="黑体"/>
                <w:noProof/>
                <w:sz w:val="24"/>
              </w:rPr>
              <w:t>6.1</w:t>
            </w:r>
            <w:r w:rsidR="00A40DA6" w:rsidRPr="00A40DA6">
              <w:rPr>
                <w:rStyle w:val="ab"/>
                <w:rFonts w:ascii="黑体" w:hAnsi="黑体" w:cs="黑体" w:hint="eastAsia"/>
                <w:noProof/>
                <w:sz w:val="24"/>
              </w:rPr>
              <w:t xml:space="preserve"> </w:t>
            </w:r>
            <w:r w:rsidR="00A40DA6" w:rsidRPr="00A40DA6">
              <w:rPr>
                <w:rStyle w:val="ab"/>
                <w:rFonts w:ascii="黑体" w:hAnsi="黑体" w:cs="黑体" w:hint="eastAsia"/>
                <w:noProof/>
                <w:sz w:val="24"/>
              </w:rPr>
              <w:t>主体结构设计</w:t>
            </w:r>
            <w:r w:rsidR="00A40DA6" w:rsidRPr="00A40DA6">
              <w:rPr>
                <w:noProof/>
                <w:webHidden/>
                <w:sz w:val="24"/>
              </w:rPr>
              <w:tab/>
            </w:r>
            <w:r w:rsidR="00A40DA6" w:rsidRPr="00A40DA6">
              <w:rPr>
                <w:noProof/>
                <w:webHidden/>
                <w:sz w:val="24"/>
              </w:rPr>
              <w:fldChar w:fldCharType="begin"/>
            </w:r>
            <w:r w:rsidR="00A40DA6" w:rsidRPr="00A40DA6">
              <w:rPr>
                <w:noProof/>
                <w:webHidden/>
                <w:sz w:val="24"/>
              </w:rPr>
              <w:instrText xml:space="preserve"> PAGEREF _Toc224026605 \h </w:instrText>
            </w:r>
            <w:r w:rsidR="00A40DA6" w:rsidRPr="00A40DA6">
              <w:rPr>
                <w:noProof/>
                <w:webHidden/>
                <w:sz w:val="24"/>
              </w:rPr>
            </w:r>
            <w:r w:rsidR="00A40DA6" w:rsidRPr="00A40DA6">
              <w:rPr>
                <w:noProof/>
                <w:webHidden/>
                <w:sz w:val="24"/>
              </w:rPr>
              <w:fldChar w:fldCharType="separate"/>
            </w:r>
            <w:r w:rsidR="00A40DA6" w:rsidRPr="00A40DA6">
              <w:rPr>
                <w:noProof/>
                <w:webHidden/>
                <w:sz w:val="24"/>
              </w:rPr>
              <w:t>12</w:t>
            </w:r>
            <w:r w:rsidR="00A40DA6" w:rsidRPr="00A40DA6">
              <w:rPr>
                <w:noProof/>
                <w:webHidden/>
                <w:sz w:val="24"/>
              </w:rPr>
              <w:fldChar w:fldCharType="end"/>
            </w:r>
          </w:hyperlink>
        </w:p>
        <w:p w:rsidR="00A40DA6" w:rsidRPr="00A40DA6" w:rsidRDefault="00732A3C" w:rsidP="00A40DA6">
          <w:pPr>
            <w:pStyle w:val="20"/>
            <w:tabs>
              <w:tab w:val="right" w:leader="dot" w:pos="8296"/>
            </w:tabs>
            <w:spacing w:line="324" w:lineRule="auto"/>
            <w:rPr>
              <w:noProof/>
              <w:sz w:val="24"/>
            </w:rPr>
          </w:pPr>
          <w:hyperlink w:anchor="_Toc224026606" w:history="1">
            <w:r w:rsidR="00A40DA6" w:rsidRPr="00A40DA6">
              <w:rPr>
                <w:rStyle w:val="ab"/>
                <w:rFonts w:ascii="黑体" w:hAnsi="黑体" w:cs="黑体"/>
                <w:noProof/>
                <w:sz w:val="24"/>
              </w:rPr>
              <w:t>6.2</w:t>
            </w:r>
            <w:r w:rsidR="00A40DA6" w:rsidRPr="00A40DA6">
              <w:rPr>
                <w:rStyle w:val="ab"/>
                <w:rFonts w:ascii="黑体" w:hAnsi="黑体" w:cs="黑体" w:hint="eastAsia"/>
                <w:noProof/>
                <w:sz w:val="24"/>
              </w:rPr>
              <w:t xml:space="preserve"> </w:t>
            </w:r>
            <w:r w:rsidR="00A40DA6" w:rsidRPr="00A40DA6">
              <w:rPr>
                <w:rStyle w:val="ab"/>
                <w:rFonts w:ascii="黑体" w:hAnsi="黑体" w:cs="黑体" w:hint="eastAsia"/>
                <w:noProof/>
                <w:sz w:val="24"/>
              </w:rPr>
              <w:t>临时结构设计</w:t>
            </w:r>
            <w:r w:rsidR="00A40DA6" w:rsidRPr="00A40DA6">
              <w:rPr>
                <w:noProof/>
                <w:webHidden/>
                <w:sz w:val="24"/>
              </w:rPr>
              <w:tab/>
            </w:r>
            <w:r w:rsidR="00A40DA6" w:rsidRPr="00A40DA6">
              <w:rPr>
                <w:noProof/>
                <w:webHidden/>
                <w:sz w:val="24"/>
              </w:rPr>
              <w:fldChar w:fldCharType="begin"/>
            </w:r>
            <w:r w:rsidR="00A40DA6" w:rsidRPr="00A40DA6">
              <w:rPr>
                <w:noProof/>
                <w:webHidden/>
                <w:sz w:val="24"/>
              </w:rPr>
              <w:instrText xml:space="preserve"> PAGEREF _Toc224026606 \h </w:instrText>
            </w:r>
            <w:r w:rsidR="00A40DA6" w:rsidRPr="00A40DA6">
              <w:rPr>
                <w:noProof/>
                <w:webHidden/>
                <w:sz w:val="24"/>
              </w:rPr>
            </w:r>
            <w:r w:rsidR="00A40DA6" w:rsidRPr="00A40DA6">
              <w:rPr>
                <w:noProof/>
                <w:webHidden/>
                <w:sz w:val="24"/>
              </w:rPr>
              <w:fldChar w:fldCharType="separate"/>
            </w:r>
            <w:r w:rsidR="00A40DA6" w:rsidRPr="00A40DA6">
              <w:rPr>
                <w:noProof/>
                <w:webHidden/>
                <w:sz w:val="24"/>
              </w:rPr>
              <w:t>14</w:t>
            </w:r>
            <w:r w:rsidR="00A40DA6" w:rsidRPr="00A40DA6">
              <w:rPr>
                <w:noProof/>
                <w:webHidden/>
                <w:sz w:val="24"/>
              </w:rPr>
              <w:fldChar w:fldCharType="end"/>
            </w:r>
          </w:hyperlink>
        </w:p>
        <w:p w:rsidR="00A40DA6" w:rsidRPr="00A40DA6" w:rsidRDefault="00732A3C" w:rsidP="00A40DA6">
          <w:pPr>
            <w:pStyle w:val="20"/>
            <w:tabs>
              <w:tab w:val="right" w:leader="dot" w:pos="8296"/>
            </w:tabs>
            <w:spacing w:line="324" w:lineRule="auto"/>
            <w:rPr>
              <w:noProof/>
              <w:sz w:val="24"/>
            </w:rPr>
          </w:pPr>
          <w:hyperlink w:anchor="_Toc224026607" w:history="1">
            <w:r w:rsidR="00A40DA6" w:rsidRPr="00A40DA6">
              <w:rPr>
                <w:rStyle w:val="ab"/>
                <w:rFonts w:ascii="黑体" w:hAnsi="黑体" w:cs="黑体"/>
                <w:noProof/>
                <w:sz w:val="24"/>
              </w:rPr>
              <w:t>6.3</w:t>
            </w:r>
            <w:r w:rsidR="00A40DA6" w:rsidRPr="00A40DA6">
              <w:rPr>
                <w:rStyle w:val="ab"/>
                <w:rFonts w:ascii="黑体" w:hAnsi="黑体" w:cs="黑体" w:hint="eastAsia"/>
                <w:noProof/>
                <w:sz w:val="24"/>
              </w:rPr>
              <w:t xml:space="preserve"> </w:t>
            </w:r>
            <w:r w:rsidR="00A40DA6" w:rsidRPr="00A40DA6">
              <w:rPr>
                <w:rStyle w:val="ab"/>
                <w:rFonts w:ascii="黑体" w:hAnsi="黑体" w:cs="黑体" w:hint="eastAsia"/>
                <w:noProof/>
                <w:sz w:val="24"/>
              </w:rPr>
              <w:t>机具设备要求</w:t>
            </w:r>
            <w:r w:rsidR="00A40DA6" w:rsidRPr="00A40DA6">
              <w:rPr>
                <w:noProof/>
                <w:webHidden/>
                <w:sz w:val="24"/>
              </w:rPr>
              <w:tab/>
            </w:r>
            <w:r w:rsidR="00A40DA6" w:rsidRPr="00A40DA6">
              <w:rPr>
                <w:noProof/>
                <w:webHidden/>
                <w:sz w:val="24"/>
              </w:rPr>
              <w:fldChar w:fldCharType="begin"/>
            </w:r>
            <w:r w:rsidR="00A40DA6" w:rsidRPr="00A40DA6">
              <w:rPr>
                <w:noProof/>
                <w:webHidden/>
                <w:sz w:val="24"/>
              </w:rPr>
              <w:instrText xml:space="preserve"> PAGEREF _Toc224026607 \h </w:instrText>
            </w:r>
            <w:r w:rsidR="00A40DA6" w:rsidRPr="00A40DA6">
              <w:rPr>
                <w:noProof/>
                <w:webHidden/>
                <w:sz w:val="24"/>
              </w:rPr>
            </w:r>
            <w:r w:rsidR="00A40DA6" w:rsidRPr="00A40DA6">
              <w:rPr>
                <w:noProof/>
                <w:webHidden/>
                <w:sz w:val="24"/>
              </w:rPr>
              <w:fldChar w:fldCharType="separate"/>
            </w:r>
            <w:r w:rsidR="00A40DA6" w:rsidRPr="00A40DA6">
              <w:rPr>
                <w:noProof/>
                <w:webHidden/>
                <w:sz w:val="24"/>
              </w:rPr>
              <w:t>16</w:t>
            </w:r>
            <w:r w:rsidR="00A40DA6" w:rsidRPr="00A40DA6">
              <w:rPr>
                <w:noProof/>
                <w:webHidden/>
                <w:sz w:val="24"/>
              </w:rPr>
              <w:fldChar w:fldCharType="end"/>
            </w:r>
          </w:hyperlink>
        </w:p>
        <w:p w:rsidR="00A40DA6" w:rsidRPr="00A40DA6" w:rsidRDefault="00732A3C" w:rsidP="00A40DA6">
          <w:pPr>
            <w:pStyle w:val="20"/>
            <w:tabs>
              <w:tab w:val="right" w:leader="dot" w:pos="8296"/>
            </w:tabs>
            <w:spacing w:line="324" w:lineRule="auto"/>
            <w:rPr>
              <w:noProof/>
              <w:sz w:val="24"/>
            </w:rPr>
          </w:pPr>
          <w:hyperlink w:anchor="_Toc224026608" w:history="1">
            <w:r w:rsidR="00A40DA6" w:rsidRPr="00A40DA6">
              <w:rPr>
                <w:rStyle w:val="ab"/>
                <w:rFonts w:ascii="黑体" w:hAnsi="黑体" w:cs="黑体"/>
                <w:noProof/>
                <w:sz w:val="24"/>
              </w:rPr>
              <w:t>6.4</w:t>
            </w:r>
            <w:r w:rsidR="00A40DA6" w:rsidRPr="00A40DA6">
              <w:rPr>
                <w:rStyle w:val="ab"/>
                <w:rFonts w:ascii="黑体" w:hAnsi="黑体" w:cs="黑体" w:hint="eastAsia"/>
                <w:noProof/>
                <w:sz w:val="24"/>
              </w:rPr>
              <w:t xml:space="preserve"> </w:t>
            </w:r>
            <w:r w:rsidR="00A40DA6" w:rsidRPr="00A40DA6">
              <w:rPr>
                <w:rStyle w:val="ab"/>
                <w:rFonts w:ascii="黑体" w:hAnsi="黑体" w:cs="黑体" w:hint="eastAsia"/>
                <w:noProof/>
                <w:sz w:val="24"/>
              </w:rPr>
              <w:t>结构计算</w:t>
            </w:r>
            <w:r w:rsidR="00A40DA6" w:rsidRPr="00A40DA6">
              <w:rPr>
                <w:noProof/>
                <w:webHidden/>
                <w:sz w:val="24"/>
              </w:rPr>
              <w:tab/>
            </w:r>
            <w:r w:rsidR="00A40DA6" w:rsidRPr="00A40DA6">
              <w:rPr>
                <w:noProof/>
                <w:webHidden/>
                <w:sz w:val="24"/>
              </w:rPr>
              <w:fldChar w:fldCharType="begin"/>
            </w:r>
            <w:r w:rsidR="00A40DA6" w:rsidRPr="00A40DA6">
              <w:rPr>
                <w:noProof/>
                <w:webHidden/>
                <w:sz w:val="24"/>
              </w:rPr>
              <w:instrText xml:space="preserve"> PAGEREF _Toc224026608 \h </w:instrText>
            </w:r>
            <w:r w:rsidR="00A40DA6" w:rsidRPr="00A40DA6">
              <w:rPr>
                <w:noProof/>
                <w:webHidden/>
                <w:sz w:val="24"/>
              </w:rPr>
            </w:r>
            <w:r w:rsidR="00A40DA6" w:rsidRPr="00A40DA6">
              <w:rPr>
                <w:noProof/>
                <w:webHidden/>
                <w:sz w:val="24"/>
              </w:rPr>
              <w:fldChar w:fldCharType="separate"/>
            </w:r>
            <w:r w:rsidR="00A40DA6" w:rsidRPr="00A40DA6">
              <w:rPr>
                <w:noProof/>
                <w:webHidden/>
                <w:sz w:val="24"/>
              </w:rPr>
              <w:t>19</w:t>
            </w:r>
            <w:r w:rsidR="00A40DA6" w:rsidRPr="00A40DA6">
              <w:rPr>
                <w:noProof/>
                <w:webHidden/>
                <w:sz w:val="24"/>
              </w:rPr>
              <w:fldChar w:fldCharType="end"/>
            </w:r>
          </w:hyperlink>
        </w:p>
        <w:p w:rsidR="00A40DA6" w:rsidRPr="00A40DA6" w:rsidRDefault="00732A3C" w:rsidP="00A40DA6">
          <w:pPr>
            <w:pStyle w:val="10"/>
            <w:tabs>
              <w:tab w:val="right" w:leader="dot" w:pos="8296"/>
            </w:tabs>
            <w:spacing w:line="324" w:lineRule="auto"/>
            <w:rPr>
              <w:noProof/>
              <w:sz w:val="24"/>
            </w:rPr>
          </w:pPr>
          <w:hyperlink w:anchor="_Toc224026609" w:history="1">
            <w:r w:rsidR="00A40DA6" w:rsidRPr="00A40DA6">
              <w:rPr>
                <w:rStyle w:val="ab"/>
                <w:rFonts w:ascii="黑体" w:eastAsia="黑体" w:hAnsi="黑体" w:cs="黑体"/>
                <w:noProof/>
                <w:sz w:val="24"/>
              </w:rPr>
              <w:t>7</w:t>
            </w:r>
            <w:r w:rsidR="00A40DA6" w:rsidRPr="00A40DA6">
              <w:rPr>
                <w:rStyle w:val="ab"/>
                <w:rFonts w:hint="eastAsia"/>
                <w:noProof/>
                <w:sz w:val="24"/>
              </w:rPr>
              <w:t xml:space="preserve"> </w:t>
            </w:r>
            <w:r w:rsidR="00A40DA6" w:rsidRPr="00A40DA6">
              <w:rPr>
                <w:rStyle w:val="ab"/>
                <w:rFonts w:hint="eastAsia"/>
                <w:noProof/>
                <w:sz w:val="24"/>
              </w:rPr>
              <w:t>同步滑移结构设计</w:t>
            </w:r>
            <w:r w:rsidR="00A40DA6" w:rsidRPr="00A40DA6">
              <w:rPr>
                <w:noProof/>
                <w:webHidden/>
                <w:sz w:val="24"/>
              </w:rPr>
              <w:tab/>
            </w:r>
            <w:r w:rsidR="00A40DA6" w:rsidRPr="00A40DA6">
              <w:rPr>
                <w:noProof/>
                <w:webHidden/>
                <w:sz w:val="24"/>
              </w:rPr>
              <w:fldChar w:fldCharType="begin"/>
            </w:r>
            <w:r w:rsidR="00A40DA6" w:rsidRPr="00A40DA6">
              <w:rPr>
                <w:noProof/>
                <w:webHidden/>
                <w:sz w:val="24"/>
              </w:rPr>
              <w:instrText xml:space="preserve"> PAGEREF _Toc224026609 \h </w:instrText>
            </w:r>
            <w:r w:rsidR="00A40DA6" w:rsidRPr="00A40DA6">
              <w:rPr>
                <w:noProof/>
                <w:webHidden/>
                <w:sz w:val="24"/>
              </w:rPr>
            </w:r>
            <w:r w:rsidR="00A40DA6" w:rsidRPr="00A40DA6">
              <w:rPr>
                <w:noProof/>
                <w:webHidden/>
                <w:sz w:val="24"/>
              </w:rPr>
              <w:fldChar w:fldCharType="separate"/>
            </w:r>
            <w:r w:rsidR="00A40DA6" w:rsidRPr="00A40DA6">
              <w:rPr>
                <w:noProof/>
                <w:webHidden/>
                <w:sz w:val="24"/>
              </w:rPr>
              <w:t>22</w:t>
            </w:r>
            <w:r w:rsidR="00A40DA6" w:rsidRPr="00A40DA6">
              <w:rPr>
                <w:noProof/>
                <w:webHidden/>
                <w:sz w:val="24"/>
              </w:rPr>
              <w:fldChar w:fldCharType="end"/>
            </w:r>
          </w:hyperlink>
        </w:p>
        <w:p w:rsidR="00A40DA6" w:rsidRPr="00A40DA6" w:rsidRDefault="00732A3C" w:rsidP="00A40DA6">
          <w:pPr>
            <w:pStyle w:val="20"/>
            <w:tabs>
              <w:tab w:val="right" w:leader="dot" w:pos="8296"/>
            </w:tabs>
            <w:spacing w:line="324" w:lineRule="auto"/>
            <w:rPr>
              <w:noProof/>
              <w:sz w:val="24"/>
            </w:rPr>
          </w:pPr>
          <w:hyperlink w:anchor="_Toc224026610" w:history="1">
            <w:r w:rsidR="00A40DA6" w:rsidRPr="00A40DA6">
              <w:rPr>
                <w:rStyle w:val="ab"/>
                <w:rFonts w:ascii="黑体" w:hAnsi="黑体" w:cs="黑体"/>
                <w:noProof/>
                <w:sz w:val="24"/>
              </w:rPr>
              <w:t>7.1</w:t>
            </w:r>
            <w:r w:rsidR="00A40DA6" w:rsidRPr="00A40DA6">
              <w:rPr>
                <w:rStyle w:val="ab"/>
                <w:rFonts w:ascii="黑体" w:hAnsi="黑体" w:cs="黑体" w:hint="eastAsia"/>
                <w:noProof/>
                <w:sz w:val="24"/>
              </w:rPr>
              <w:t xml:space="preserve"> </w:t>
            </w:r>
            <w:r w:rsidR="00A40DA6" w:rsidRPr="00A40DA6">
              <w:rPr>
                <w:rStyle w:val="ab"/>
                <w:rFonts w:ascii="黑体" w:hAnsi="黑体" w:cs="黑体" w:hint="eastAsia"/>
                <w:noProof/>
                <w:sz w:val="24"/>
              </w:rPr>
              <w:t>主体结构设计</w:t>
            </w:r>
            <w:r w:rsidR="00A40DA6" w:rsidRPr="00A40DA6">
              <w:rPr>
                <w:noProof/>
                <w:webHidden/>
                <w:sz w:val="24"/>
              </w:rPr>
              <w:tab/>
            </w:r>
            <w:r w:rsidR="00A40DA6" w:rsidRPr="00A40DA6">
              <w:rPr>
                <w:noProof/>
                <w:webHidden/>
                <w:sz w:val="24"/>
              </w:rPr>
              <w:fldChar w:fldCharType="begin"/>
            </w:r>
            <w:r w:rsidR="00A40DA6" w:rsidRPr="00A40DA6">
              <w:rPr>
                <w:noProof/>
                <w:webHidden/>
                <w:sz w:val="24"/>
              </w:rPr>
              <w:instrText xml:space="preserve"> PAGEREF _Toc224026610 \h </w:instrText>
            </w:r>
            <w:r w:rsidR="00A40DA6" w:rsidRPr="00A40DA6">
              <w:rPr>
                <w:noProof/>
                <w:webHidden/>
                <w:sz w:val="24"/>
              </w:rPr>
            </w:r>
            <w:r w:rsidR="00A40DA6" w:rsidRPr="00A40DA6">
              <w:rPr>
                <w:noProof/>
                <w:webHidden/>
                <w:sz w:val="24"/>
              </w:rPr>
              <w:fldChar w:fldCharType="separate"/>
            </w:r>
            <w:r w:rsidR="00A40DA6" w:rsidRPr="00A40DA6">
              <w:rPr>
                <w:noProof/>
                <w:webHidden/>
                <w:sz w:val="24"/>
              </w:rPr>
              <w:t>22</w:t>
            </w:r>
            <w:r w:rsidR="00A40DA6" w:rsidRPr="00A40DA6">
              <w:rPr>
                <w:noProof/>
                <w:webHidden/>
                <w:sz w:val="24"/>
              </w:rPr>
              <w:fldChar w:fldCharType="end"/>
            </w:r>
          </w:hyperlink>
        </w:p>
        <w:p w:rsidR="00A40DA6" w:rsidRPr="00A40DA6" w:rsidRDefault="00732A3C" w:rsidP="00A40DA6">
          <w:pPr>
            <w:pStyle w:val="20"/>
            <w:tabs>
              <w:tab w:val="right" w:leader="dot" w:pos="8296"/>
            </w:tabs>
            <w:spacing w:line="324" w:lineRule="auto"/>
            <w:rPr>
              <w:noProof/>
              <w:sz w:val="24"/>
            </w:rPr>
          </w:pPr>
          <w:hyperlink w:anchor="_Toc224026611" w:history="1">
            <w:r w:rsidR="00A40DA6" w:rsidRPr="00A40DA6">
              <w:rPr>
                <w:rStyle w:val="ab"/>
                <w:rFonts w:ascii="黑体" w:hAnsi="黑体" w:cs="黑体"/>
                <w:noProof/>
                <w:sz w:val="24"/>
              </w:rPr>
              <w:t>7.2</w:t>
            </w:r>
            <w:r w:rsidR="00A40DA6" w:rsidRPr="00A40DA6">
              <w:rPr>
                <w:rStyle w:val="ab"/>
                <w:rFonts w:ascii="黑体" w:hAnsi="黑体" w:cs="黑体" w:hint="eastAsia"/>
                <w:noProof/>
                <w:sz w:val="24"/>
              </w:rPr>
              <w:t xml:space="preserve"> </w:t>
            </w:r>
            <w:r w:rsidR="00A40DA6" w:rsidRPr="00A40DA6">
              <w:rPr>
                <w:rStyle w:val="ab"/>
                <w:rFonts w:ascii="黑体" w:hAnsi="黑体" w:cs="黑体" w:hint="eastAsia"/>
                <w:noProof/>
                <w:sz w:val="24"/>
              </w:rPr>
              <w:t>临时结构设计</w:t>
            </w:r>
            <w:r w:rsidR="00A40DA6" w:rsidRPr="00A40DA6">
              <w:rPr>
                <w:noProof/>
                <w:webHidden/>
                <w:sz w:val="24"/>
              </w:rPr>
              <w:tab/>
            </w:r>
            <w:r w:rsidR="00A40DA6" w:rsidRPr="00A40DA6">
              <w:rPr>
                <w:noProof/>
                <w:webHidden/>
                <w:sz w:val="24"/>
              </w:rPr>
              <w:fldChar w:fldCharType="begin"/>
            </w:r>
            <w:r w:rsidR="00A40DA6" w:rsidRPr="00A40DA6">
              <w:rPr>
                <w:noProof/>
                <w:webHidden/>
                <w:sz w:val="24"/>
              </w:rPr>
              <w:instrText xml:space="preserve"> PAGEREF _Toc224026611 \h </w:instrText>
            </w:r>
            <w:r w:rsidR="00A40DA6" w:rsidRPr="00A40DA6">
              <w:rPr>
                <w:noProof/>
                <w:webHidden/>
                <w:sz w:val="24"/>
              </w:rPr>
            </w:r>
            <w:r w:rsidR="00A40DA6" w:rsidRPr="00A40DA6">
              <w:rPr>
                <w:noProof/>
                <w:webHidden/>
                <w:sz w:val="24"/>
              </w:rPr>
              <w:fldChar w:fldCharType="separate"/>
            </w:r>
            <w:r w:rsidR="00A40DA6" w:rsidRPr="00A40DA6">
              <w:rPr>
                <w:noProof/>
                <w:webHidden/>
                <w:sz w:val="24"/>
              </w:rPr>
              <w:t>22</w:t>
            </w:r>
            <w:r w:rsidR="00A40DA6" w:rsidRPr="00A40DA6">
              <w:rPr>
                <w:noProof/>
                <w:webHidden/>
                <w:sz w:val="24"/>
              </w:rPr>
              <w:fldChar w:fldCharType="end"/>
            </w:r>
          </w:hyperlink>
        </w:p>
        <w:p w:rsidR="00A40DA6" w:rsidRPr="00A40DA6" w:rsidRDefault="00732A3C" w:rsidP="00A40DA6">
          <w:pPr>
            <w:pStyle w:val="20"/>
            <w:tabs>
              <w:tab w:val="right" w:leader="dot" w:pos="8296"/>
            </w:tabs>
            <w:spacing w:line="324" w:lineRule="auto"/>
            <w:rPr>
              <w:noProof/>
              <w:sz w:val="24"/>
            </w:rPr>
          </w:pPr>
          <w:hyperlink w:anchor="_Toc224026612" w:history="1">
            <w:r w:rsidR="00A40DA6" w:rsidRPr="00A40DA6">
              <w:rPr>
                <w:rStyle w:val="ab"/>
                <w:rFonts w:ascii="黑体" w:hAnsi="黑体" w:cs="黑体"/>
                <w:noProof/>
                <w:sz w:val="24"/>
              </w:rPr>
              <w:t>7.3</w:t>
            </w:r>
            <w:r w:rsidR="00A40DA6" w:rsidRPr="00A40DA6">
              <w:rPr>
                <w:rStyle w:val="ab"/>
                <w:rFonts w:ascii="黑体" w:hAnsi="黑体" w:cs="黑体" w:hint="eastAsia"/>
                <w:noProof/>
                <w:sz w:val="24"/>
              </w:rPr>
              <w:t xml:space="preserve"> </w:t>
            </w:r>
            <w:r w:rsidR="00A40DA6" w:rsidRPr="00A40DA6">
              <w:rPr>
                <w:rStyle w:val="ab"/>
                <w:rFonts w:ascii="黑体" w:hAnsi="黑体" w:cs="黑体" w:hint="eastAsia"/>
                <w:noProof/>
                <w:sz w:val="24"/>
              </w:rPr>
              <w:t>机具设备要求</w:t>
            </w:r>
            <w:r w:rsidR="00A40DA6" w:rsidRPr="00A40DA6">
              <w:rPr>
                <w:noProof/>
                <w:webHidden/>
                <w:sz w:val="24"/>
              </w:rPr>
              <w:tab/>
            </w:r>
            <w:r w:rsidR="00A40DA6" w:rsidRPr="00A40DA6">
              <w:rPr>
                <w:noProof/>
                <w:webHidden/>
                <w:sz w:val="24"/>
              </w:rPr>
              <w:fldChar w:fldCharType="begin"/>
            </w:r>
            <w:r w:rsidR="00A40DA6" w:rsidRPr="00A40DA6">
              <w:rPr>
                <w:noProof/>
                <w:webHidden/>
                <w:sz w:val="24"/>
              </w:rPr>
              <w:instrText xml:space="preserve"> PAGEREF _Toc224026612 \h </w:instrText>
            </w:r>
            <w:r w:rsidR="00A40DA6" w:rsidRPr="00A40DA6">
              <w:rPr>
                <w:noProof/>
                <w:webHidden/>
                <w:sz w:val="24"/>
              </w:rPr>
            </w:r>
            <w:r w:rsidR="00A40DA6" w:rsidRPr="00A40DA6">
              <w:rPr>
                <w:noProof/>
                <w:webHidden/>
                <w:sz w:val="24"/>
              </w:rPr>
              <w:fldChar w:fldCharType="separate"/>
            </w:r>
            <w:r w:rsidR="00A40DA6" w:rsidRPr="00A40DA6">
              <w:rPr>
                <w:noProof/>
                <w:webHidden/>
                <w:sz w:val="24"/>
              </w:rPr>
              <w:t>24</w:t>
            </w:r>
            <w:r w:rsidR="00A40DA6" w:rsidRPr="00A40DA6">
              <w:rPr>
                <w:noProof/>
                <w:webHidden/>
                <w:sz w:val="24"/>
              </w:rPr>
              <w:fldChar w:fldCharType="end"/>
            </w:r>
          </w:hyperlink>
        </w:p>
        <w:p w:rsidR="00A40DA6" w:rsidRPr="00A40DA6" w:rsidRDefault="00732A3C" w:rsidP="00A40DA6">
          <w:pPr>
            <w:pStyle w:val="20"/>
            <w:tabs>
              <w:tab w:val="right" w:leader="dot" w:pos="8296"/>
            </w:tabs>
            <w:spacing w:line="324" w:lineRule="auto"/>
            <w:rPr>
              <w:noProof/>
              <w:sz w:val="24"/>
            </w:rPr>
          </w:pPr>
          <w:hyperlink w:anchor="_Toc224026613" w:history="1">
            <w:r w:rsidR="00A40DA6" w:rsidRPr="00A40DA6">
              <w:rPr>
                <w:rStyle w:val="ab"/>
                <w:rFonts w:ascii="黑体" w:hAnsi="黑体" w:cs="黑体"/>
                <w:noProof/>
                <w:sz w:val="24"/>
              </w:rPr>
              <w:t>7.4</w:t>
            </w:r>
            <w:r w:rsidR="00A40DA6" w:rsidRPr="00A40DA6">
              <w:rPr>
                <w:rStyle w:val="ab"/>
                <w:rFonts w:ascii="黑体" w:hAnsi="黑体" w:cs="黑体" w:hint="eastAsia"/>
                <w:noProof/>
                <w:sz w:val="24"/>
              </w:rPr>
              <w:t xml:space="preserve"> </w:t>
            </w:r>
            <w:r w:rsidR="00A40DA6" w:rsidRPr="00A40DA6">
              <w:rPr>
                <w:rStyle w:val="ab"/>
                <w:rFonts w:ascii="黑体" w:hAnsi="黑体" w:cs="黑体" w:hint="eastAsia"/>
                <w:noProof/>
                <w:sz w:val="24"/>
              </w:rPr>
              <w:t>结构计算</w:t>
            </w:r>
            <w:r w:rsidR="00A40DA6" w:rsidRPr="00A40DA6">
              <w:rPr>
                <w:noProof/>
                <w:webHidden/>
                <w:sz w:val="24"/>
              </w:rPr>
              <w:tab/>
            </w:r>
            <w:r w:rsidR="00A40DA6" w:rsidRPr="00A40DA6">
              <w:rPr>
                <w:noProof/>
                <w:webHidden/>
                <w:sz w:val="24"/>
              </w:rPr>
              <w:fldChar w:fldCharType="begin"/>
            </w:r>
            <w:r w:rsidR="00A40DA6" w:rsidRPr="00A40DA6">
              <w:rPr>
                <w:noProof/>
                <w:webHidden/>
                <w:sz w:val="24"/>
              </w:rPr>
              <w:instrText xml:space="preserve"> PAGEREF _Toc224026613 \h </w:instrText>
            </w:r>
            <w:r w:rsidR="00A40DA6" w:rsidRPr="00A40DA6">
              <w:rPr>
                <w:noProof/>
                <w:webHidden/>
                <w:sz w:val="24"/>
              </w:rPr>
            </w:r>
            <w:r w:rsidR="00A40DA6" w:rsidRPr="00A40DA6">
              <w:rPr>
                <w:noProof/>
                <w:webHidden/>
                <w:sz w:val="24"/>
              </w:rPr>
              <w:fldChar w:fldCharType="separate"/>
            </w:r>
            <w:r w:rsidR="00A40DA6" w:rsidRPr="00A40DA6">
              <w:rPr>
                <w:noProof/>
                <w:webHidden/>
                <w:sz w:val="24"/>
              </w:rPr>
              <w:t>25</w:t>
            </w:r>
            <w:r w:rsidR="00A40DA6" w:rsidRPr="00A40DA6">
              <w:rPr>
                <w:noProof/>
                <w:webHidden/>
                <w:sz w:val="24"/>
              </w:rPr>
              <w:fldChar w:fldCharType="end"/>
            </w:r>
          </w:hyperlink>
        </w:p>
        <w:p w:rsidR="00A40DA6" w:rsidRPr="00A40DA6" w:rsidRDefault="00732A3C" w:rsidP="00A40DA6">
          <w:pPr>
            <w:pStyle w:val="10"/>
            <w:tabs>
              <w:tab w:val="right" w:leader="dot" w:pos="8296"/>
            </w:tabs>
            <w:spacing w:line="324" w:lineRule="auto"/>
            <w:rPr>
              <w:noProof/>
              <w:sz w:val="24"/>
            </w:rPr>
          </w:pPr>
          <w:hyperlink w:anchor="_Toc224026614" w:history="1">
            <w:r w:rsidR="00A40DA6" w:rsidRPr="00A40DA6">
              <w:rPr>
                <w:rStyle w:val="ab"/>
                <w:rFonts w:ascii="黑体" w:eastAsia="黑体" w:hAnsi="黑体" w:cs="黑体"/>
                <w:noProof/>
                <w:sz w:val="24"/>
              </w:rPr>
              <w:t>8</w:t>
            </w:r>
            <w:r w:rsidR="00A40DA6" w:rsidRPr="00A40DA6">
              <w:rPr>
                <w:rStyle w:val="ab"/>
                <w:rFonts w:hint="eastAsia"/>
                <w:noProof/>
                <w:sz w:val="24"/>
              </w:rPr>
              <w:t xml:space="preserve"> </w:t>
            </w:r>
            <w:r w:rsidR="00A40DA6" w:rsidRPr="00A40DA6">
              <w:rPr>
                <w:rStyle w:val="ab"/>
                <w:rFonts w:hint="eastAsia"/>
                <w:noProof/>
                <w:sz w:val="24"/>
              </w:rPr>
              <w:t>步履式同步顶推结构设计</w:t>
            </w:r>
            <w:r w:rsidR="00A40DA6" w:rsidRPr="00A40DA6">
              <w:rPr>
                <w:noProof/>
                <w:webHidden/>
                <w:sz w:val="24"/>
              </w:rPr>
              <w:tab/>
            </w:r>
            <w:r w:rsidR="00A40DA6" w:rsidRPr="00A40DA6">
              <w:rPr>
                <w:noProof/>
                <w:webHidden/>
                <w:sz w:val="24"/>
              </w:rPr>
              <w:fldChar w:fldCharType="begin"/>
            </w:r>
            <w:r w:rsidR="00A40DA6" w:rsidRPr="00A40DA6">
              <w:rPr>
                <w:noProof/>
                <w:webHidden/>
                <w:sz w:val="24"/>
              </w:rPr>
              <w:instrText xml:space="preserve"> PAGEREF _Toc224026614 \h </w:instrText>
            </w:r>
            <w:r w:rsidR="00A40DA6" w:rsidRPr="00A40DA6">
              <w:rPr>
                <w:noProof/>
                <w:webHidden/>
                <w:sz w:val="24"/>
              </w:rPr>
            </w:r>
            <w:r w:rsidR="00A40DA6" w:rsidRPr="00A40DA6">
              <w:rPr>
                <w:noProof/>
                <w:webHidden/>
                <w:sz w:val="24"/>
              </w:rPr>
              <w:fldChar w:fldCharType="separate"/>
            </w:r>
            <w:r w:rsidR="00A40DA6" w:rsidRPr="00A40DA6">
              <w:rPr>
                <w:noProof/>
                <w:webHidden/>
                <w:sz w:val="24"/>
              </w:rPr>
              <w:t>26</w:t>
            </w:r>
            <w:r w:rsidR="00A40DA6" w:rsidRPr="00A40DA6">
              <w:rPr>
                <w:noProof/>
                <w:webHidden/>
                <w:sz w:val="24"/>
              </w:rPr>
              <w:fldChar w:fldCharType="end"/>
            </w:r>
          </w:hyperlink>
        </w:p>
        <w:p w:rsidR="00A40DA6" w:rsidRPr="00A40DA6" w:rsidRDefault="00732A3C" w:rsidP="00A40DA6">
          <w:pPr>
            <w:pStyle w:val="20"/>
            <w:tabs>
              <w:tab w:val="right" w:leader="dot" w:pos="8296"/>
            </w:tabs>
            <w:spacing w:line="324" w:lineRule="auto"/>
            <w:rPr>
              <w:noProof/>
              <w:sz w:val="24"/>
            </w:rPr>
          </w:pPr>
          <w:hyperlink w:anchor="_Toc224026615" w:history="1">
            <w:r w:rsidR="00A40DA6" w:rsidRPr="00A40DA6">
              <w:rPr>
                <w:rStyle w:val="ab"/>
                <w:rFonts w:ascii="黑体" w:hAnsi="黑体" w:cs="黑体"/>
                <w:noProof/>
                <w:sz w:val="24"/>
              </w:rPr>
              <w:t>8.1</w:t>
            </w:r>
            <w:r w:rsidR="00A40DA6" w:rsidRPr="00A40DA6">
              <w:rPr>
                <w:rStyle w:val="ab"/>
                <w:rFonts w:ascii="黑体" w:hAnsi="黑体" w:cs="黑体" w:hint="eastAsia"/>
                <w:noProof/>
                <w:sz w:val="24"/>
              </w:rPr>
              <w:t xml:space="preserve"> </w:t>
            </w:r>
            <w:r w:rsidR="00A40DA6" w:rsidRPr="00A40DA6">
              <w:rPr>
                <w:rStyle w:val="ab"/>
                <w:rFonts w:ascii="黑体" w:hAnsi="黑体" w:cs="黑体" w:hint="eastAsia"/>
                <w:noProof/>
                <w:sz w:val="24"/>
              </w:rPr>
              <w:t>主体结构设计</w:t>
            </w:r>
            <w:r w:rsidR="00A40DA6" w:rsidRPr="00A40DA6">
              <w:rPr>
                <w:noProof/>
                <w:webHidden/>
                <w:sz w:val="24"/>
              </w:rPr>
              <w:tab/>
            </w:r>
            <w:r w:rsidR="00A40DA6" w:rsidRPr="00A40DA6">
              <w:rPr>
                <w:noProof/>
                <w:webHidden/>
                <w:sz w:val="24"/>
              </w:rPr>
              <w:fldChar w:fldCharType="begin"/>
            </w:r>
            <w:r w:rsidR="00A40DA6" w:rsidRPr="00A40DA6">
              <w:rPr>
                <w:noProof/>
                <w:webHidden/>
                <w:sz w:val="24"/>
              </w:rPr>
              <w:instrText xml:space="preserve"> PAGEREF _Toc224026615 \h </w:instrText>
            </w:r>
            <w:r w:rsidR="00A40DA6" w:rsidRPr="00A40DA6">
              <w:rPr>
                <w:noProof/>
                <w:webHidden/>
                <w:sz w:val="24"/>
              </w:rPr>
            </w:r>
            <w:r w:rsidR="00A40DA6" w:rsidRPr="00A40DA6">
              <w:rPr>
                <w:noProof/>
                <w:webHidden/>
                <w:sz w:val="24"/>
              </w:rPr>
              <w:fldChar w:fldCharType="separate"/>
            </w:r>
            <w:r w:rsidR="00A40DA6" w:rsidRPr="00A40DA6">
              <w:rPr>
                <w:noProof/>
                <w:webHidden/>
                <w:sz w:val="24"/>
              </w:rPr>
              <w:t>26</w:t>
            </w:r>
            <w:r w:rsidR="00A40DA6" w:rsidRPr="00A40DA6">
              <w:rPr>
                <w:noProof/>
                <w:webHidden/>
                <w:sz w:val="24"/>
              </w:rPr>
              <w:fldChar w:fldCharType="end"/>
            </w:r>
          </w:hyperlink>
        </w:p>
        <w:p w:rsidR="00A40DA6" w:rsidRPr="00A40DA6" w:rsidRDefault="00732A3C" w:rsidP="00A40DA6">
          <w:pPr>
            <w:pStyle w:val="20"/>
            <w:tabs>
              <w:tab w:val="right" w:leader="dot" w:pos="8296"/>
            </w:tabs>
            <w:spacing w:line="324" w:lineRule="auto"/>
            <w:rPr>
              <w:noProof/>
              <w:sz w:val="24"/>
            </w:rPr>
          </w:pPr>
          <w:hyperlink w:anchor="_Toc224026616" w:history="1">
            <w:r w:rsidR="00A40DA6" w:rsidRPr="00A40DA6">
              <w:rPr>
                <w:rStyle w:val="ab"/>
                <w:rFonts w:ascii="黑体" w:hAnsi="黑体" w:cs="黑体"/>
                <w:noProof/>
                <w:kern w:val="44"/>
                <w:sz w:val="24"/>
              </w:rPr>
              <w:t>8.2</w:t>
            </w:r>
            <w:r w:rsidR="00A40DA6" w:rsidRPr="00A40DA6">
              <w:rPr>
                <w:rStyle w:val="ab"/>
                <w:rFonts w:ascii="黑体" w:hAnsi="黑体" w:cs="黑体" w:hint="eastAsia"/>
                <w:noProof/>
                <w:kern w:val="44"/>
                <w:sz w:val="24"/>
              </w:rPr>
              <w:t xml:space="preserve"> </w:t>
            </w:r>
            <w:r w:rsidR="00A40DA6" w:rsidRPr="00A40DA6">
              <w:rPr>
                <w:rStyle w:val="ab"/>
                <w:rFonts w:ascii="黑体" w:hAnsi="黑体" w:cs="黑体" w:hint="eastAsia"/>
                <w:noProof/>
                <w:kern w:val="44"/>
                <w:sz w:val="24"/>
              </w:rPr>
              <w:t>临时结构设计</w:t>
            </w:r>
            <w:r w:rsidR="00A40DA6" w:rsidRPr="00A40DA6">
              <w:rPr>
                <w:noProof/>
                <w:webHidden/>
                <w:sz w:val="24"/>
              </w:rPr>
              <w:tab/>
            </w:r>
            <w:r w:rsidR="00A40DA6" w:rsidRPr="00A40DA6">
              <w:rPr>
                <w:noProof/>
                <w:webHidden/>
                <w:sz w:val="24"/>
              </w:rPr>
              <w:fldChar w:fldCharType="begin"/>
            </w:r>
            <w:r w:rsidR="00A40DA6" w:rsidRPr="00A40DA6">
              <w:rPr>
                <w:noProof/>
                <w:webHidden/>
                <w:sz w:val="24"/>
              </w:rPr>
              <w:instrText xml:space="preserve"> PAGEREF _Toc224026616 \h </w:instrText>
            </w:r>
            <w:r w:rsidR="00A40DA6" w:rsidRPr="00A40DA6">
              <w:rPr>
                <w:noProof/>
                <w:webHidden/>
                <w:sz w:val="24"/>
              </w:rPr>
            </w:r>
            <w:r w:rsidR="00A40DA6" w:rsidRPr="00A40DA6">
              <w:rPr>
                <w:noProof/>
                <w:webHidden/>
                <w:sz w:val="24"/>
              </w:rPr>
              <w:fldChar w:fldCharType="separate"/>
            </w:r>
            <w:r w:rsidR="00A40DA6" w:rsidRPr="00A40DA6">
              <w:rPr>
                <w:noProof/>
                <w:webHidden/>
                <w:sz w:val="24"/>
              </w:rPr>
              <w:t>30</w:t>
            </w:r>
            <w:r w:rsidR="00A40DA6" w:rsidRPr="00A40DA6">
              <w:rPr>
                <w:noProof/>
                <w:webHidden/>
                <w:sz w:val="24"/>
              </w:rPr>
              <w:fldChar w:fldCharType="end"/>
            </w:r>
          </w:hyperlink>
        </w:p>
        <w:p w:rsidR="00A40DA6" w:rsidRPr="00A40DA6" w:rsidRDefault="00732A3C" w:rsidP="00A40DA6">
          <w:pPr>
            <w:pStyle w:val="20"/>
            <w:tabs>
              <w:tab w:val="right" w:leader="dot" w:pos="8296"/>
            </w:tabs>
            <w:spacing w:line="324" w:lineRule="auto"/>
            <w:rPr>
              <w:noProof/>
              <w:sz w:val="24"/>
            </w:rPr>
          </w:pPr>
          <w:hyperlink w:anchor="_Toc224026617" w:history="1">
            <w:r w:rsidR="00A40DA6" w:rsidRPr="00A40DA6">
              <w:rPr>
                <w:rStyle w:val="ab"/>
                <w:rFonts w:ascii="黑体" w:hAnsi="黑体" w:cs="黑体"/>
                <w:noProof/>
                <w:kern w:val="44"/>
                <w:sz w:val="24"/>
              </w:rPr>
              <w:t>8.3</w:t>
            </w:r>
            <w:r w:rsidR="00A40DA6" w:rsidRPr="00A40DA6">
              <w:rPr>
                <w:rStyle w:val="ab"/>
                <w:rFonts w:ascii="黑体" w:hAnsi="黑体" w:cs="黑体" w:hint="eastAsia"/>
                <w:noProof/>
                <w:kern w:val="44"/>
                <w:sz w:val="24"/>
              </w:rPr>
              <w:t xml:space="preserve"> </w:t>
            </w:r>
            <w:r w:rsidR="00A40DA6" w:rsidRPr="00A40DA6">
              <w:rPr>
                <w:rStyle w:val="ab"/>
                <w:rFonts w:ascii="黑体" w:hAnsi="黑体" w:cs="黑体" w:hint="eastAsia"/>
                <w:noProof/>
                <w:kern w:val="44"/>
                <w:sz w:val="24"/>
              </w:rPr>
              <w:t>机具设备要求</w:t>
            </w:r>
            <w:r w:rsidR="00A40DA6" w:rsidRPr="00A40DA6">
              <w:rPr>
                <w:noProof/>
                <w:webHidden/>
                <w:sz w:val="24"/>
              </w:rPr>
              <w:tab/>
            </w:r>
            <w:r w:rsidR="00A40DA6" w:rsidRPr="00A40DA6">
              <w:rPr>
                <w:noProof/>
                <w:webHidden/>
                <w:sz w:val="24"/>
              </w:rPr>
              <w:fldChar w:fldCharType="begin"/>
            </w:r>
            <w:r w:rsidR="00A40DA6" w:rsidRPr="00A40DA6">
              <w:rPr>
                <w:noProof/>
                <w:webHidden/>
                <w:sz w:val="24"/>
              </w:rPr>
              <w:instrText xml:space="preserve"> PAGEREF _Toc224026617 \h </w:instrText>
            </w:r>
            <w:r w:rsidR="00A40DA6" w:rsidRPr="00A40DA6">
              <w:rPr>
                <w:noProof/>
                <w:webHidden/>
                <w:sz w:val="24"/>
              </w:rPr>
            </w:r>
            <w:r w:rsidR="00A40DA6" w:rsidRPr="00A40DA6">
              <w:rPr>
                <w:noProof/>
                <w:webHidden/>
                <w:sz w:val="24"/>
              </w:rPr>
              <w:fldChar w:fldCharType="separate"/>
            </w:r>
            <w:r w:rsidR="00A40DA6" w:rsidRPr="00A40DA6">
              <w:rPr>
                <w:noProof/>
                <w:webHidden/>
                <w:sz w:val="24"/>
              </w:rPr>
              <w:t>34</w:t>
            </w:r>
            <w:r w:rsidR="00A40DA6" w:rsidRPr="00A40DA6">
              <w:rPr>
                <w:noProof/>
                <w:webHidden/>
                <w:sz w:val="24"/>
              </w:rPr>
              <w:fldChar w:fldCharType="end"/>
            </w:r>
          </w:hyperlink>
        </w:p>
        <w:p w:rsidR="00A40DA6" w:rsidRPr="00A40DA6" w:rsidRDefault="00732A3C" w:rsidP="00A40DA6">
          <w:pPr>
            <w:pStyle w:val="20"/>
            <w:tabs>
              <w:tab w:val="right" w:leader="dot" w:pos="8296"/>
            </w:tabs>
            <w:spacing w:line="324" w:lineRule="auto"/>
            <w:rPr>
              <w:noProof/>
              <w:sz w:val="24"/>
            </w:rPr>
          </w:pPr>
          <w:hyperlink w:anchor="_Toc224026618" w:history="1">
            <w:r w:rsidR="00A40DA6" w:rsidRPr="00A40DA6">
              <w:rPr>
                <w:rStyle w:val="ab"/>
                <w:rFonts w:ascii="黑体" w:hAnsi="黑体" w:cs="黑体"/>
                <w:noProof/>
                <w:kern w:val="44"/>
                <w:sz w:val="24"/>
              </w:rPr>
              <w:t>8.4</w:t>
            </w:r>
            <w:r w:rsidR="00A40DA6" w:rsidRPr="00A40DA6">
              <w:rPr>
                <w:rStyle w:val="ab"/>
                <w:rFonts w:ascii="黑体" w:hAnsi="黑体" w:cs="黑体" w:hint="eastAsia"/>
                <w:noProof/>
                <w:kern w:val="44"/>
                <w:sz w:val="24"/>
              </w:rPr>
              <w:t xml:space="preserve"> </w:t>
            </w:r>
            <w:r w:rsidR="00A40DA6" w:rsidRPr="00A40DA6">
              <w:rPr>
                <w:rStyle w:val="ab"/>
                <w:rFonts w:ascii="黑体" w:hAnsi="黑体" w:cs="黑体" w:hint="eastAsia"/>
                <w:noProof/>
                <w:kern w:val="44"/>
                <w:sz w:val="24"/>
              </w:rPr>
              <w:t>结构计算</w:t>
            </w:r>
            <w:r w:rsidR="00A40DA6" w:rsidRPr="00A40DA6">
              <w:rPr>
                <w:noProof/>
                <w:webHidden/>
                <w:sz w:val="24"/>
              </w:rPr>
              <w:tab/>
            </w:r>
            <w:r w:rsidR="00A40DA6" w:rsidRPr="00A40DA6">
              <w:rPr>
                <w:noProof/>
                <w:webHidden/>
                <w:sz w:val="24"/>
              </w:rPr>
              <w:fldChar w:fldCharType="begin"/>
            </w:r>
            <w:r w:rsidR="00A40DA6" w:rsidRPr="00A40DA6">
              <w:rPr>
                <w:noProof/>
                <w:webHidden/>
                <w:sz w:val="24"/>
              </w:rPr>
              <w:instrText xml:space="preserve"> PAGEREF _Toc224026618 \h </w:instrText>
            </w:r>
            <w:r w:rsidR="00A40DA6" w:rsidRPr="00A40DA6">
              <w:rPr>
                <w:noProof/>
                <w:webHidden/>
                <w:sz w:val="24"/>
              </w:rPr>
            </w:r>
            <w:r w:rsidR="00A40DA6" w:rsidRPr="00A40DA6">
              <w:rPr>
                <w:noProof/>
                <w:webHidden/>
                <w:sz w:val="24"/>
              </w:rPr>
              <w:fldChar w:fldCharType="separate"/>
            </w:r>
            <w:r w:rsidR="00A40DA6" w:rsidRPr="00A40DA6">
              <w:rPr>
                <w:noProof/>
                <w:webHidden/>
                <w:sz w:val="24"/>
              </w:rPr>
              <w:t>37</w:t>
            </w:r>
            <w:r w:rsidR="00A40DA6" w:rsidRPr="00A40DA6">
              <w:rPr>
                <w:noProof/>
                <w:webHidden/>
                <w:sz w:val="24"/>
              </w:rPr>
              <w:fldChar w:fldCharType="end"/>
            </w:r>
          </w:hyperlink>
        </w:p>
        <w:p w:rsidR="00A40DA6" w:rsidRPr="00A40DA6" w:rsidRDefault="00732A3C" w:rsidP="00A40DA6">
          <w:pPr>
            <w:pStyle w:val="10"/>
            <w:tabs>
              <w:tab w:val="right" w:leader="dot" w:pos="8296"/>
            </w:tabs>
            <w:spacing w:line="324" w:lineRule="auto"/>
            <w:rPr>
              <w:noProof/>
              <w:sz w:val="24"/>
            </w:rPr>
          </w:pPr>
          <w:hyperlink w:anchor="_Toc224026619" w:history="1">
            <w:r w:rsidR="00A40DA6" w:rsidRPr="00A40DA6">
              <w:rPr>
                <w:rStyle w:val="ab"/>
                <w:rFonts w:ascii="黑体" w:eastAsia="黑体" w:hAnsi="黑体" w:cs="黑体"/>
                <w:noProof/>
                <w:sz w:val="24"/>
              </w:rPr>
              <w:t>9</w:t>
            </w:r>
            <w:r w:rsidR="00A40DA6" w:rsidRPr="00A40DA6">
              <w:rPr>
                <w:rStyle w:val="ab"/>
                <w:rFonts w:hint="eastAsia"/>
                <w:noProof/>
                <w:sz w:val="24"/>
              </w:rPr>
              <w:t xml:space="preserve"> </w:t>
            </w:r>
            <w:r w:rsidR="00A40DA6" w:rsidRPr="00A40DA6">
              <w:rPr>
                <w:rStyle w:val="ab"/>
                <w:rFonts w:hint="eastAsia"/>
                <w:noProof/>
                <w:sz w:val="24"/>
              </w:rPr>
              <w:t>质量检验</w:t>
            </w:r>
            <w:r w:rsidR="00A40DA6" w:rsidRPr="00A40DA6">
              <w:rPr>
                <w:noProof/>
                <w:webHidden/>
                <w:sz w:val="24"/>
              </w:rPr>
              <w:tab/>
            </w:r>
            <w:r w:rsidR="00A40DA6" w:rsidRPr="00A40DA6">
              <w:rPr>
                <w:noProof/>
                <w:webHidden/>
                <w:sz w:val="24"/>
              </w:rPr>
              <w:fldChar w:fldCharType="begin"/>
            </w:r>
            <w:r w:rsidR="00A40DA6" w:rsidRPr="00A40DA6">
              <w:rPr>
                <w:noProof/>
                <w:webHidden/>
                <w:sz w:val="24"/>
              </w:rPr>
              <w:instrText xml:space="preserve"> PAGEREF _Toc224026619 \h </w:instrText>
            </w:r>
            <w:r w:rsidR="00A40DA6" w:rsidRPr="00A40DA6">
              <w:rPr>
                <w:noProof/>
                <w:webHidden/>
                <w:sz w:val="24"/>
              </w:rPr>
            </w:r>
            <w:r w:rsidR="00A40DA6" w:rsidRPr="00A40DA6">
              <w:rPr>
                <w:noProof/>
                <w:webHidden/>
                <w:sz w:val="24"/>
              </w:rPr>
              <w:fldChar w:fldCharType="separate"/>
            </w:r>
            <w:r w:rsidR="00A40DA6" w:rsidRPr="00A40DA6">
              <w:rPr>
                <w:noProof/>
                <w:webHidden/>
                <w:sz w:val="24"/>
              </w:rPr>
              <w:t>41</w:t>
            </w:r>
            <w:r w:rsidR="00A40DA6" w:rsidRPr="00A40DA6">
              <w:rPr>
                <w:noProof/>
                <w:webHidden/>
                <w:sz w:val="24"/>
              </w:rPr>
              <w:fldChar w:fldCharType="end"/>
            </w:r>
          </w:hyperlink>
        </w:p>
        <w:p w:rsidR="00A40DA6" w:rsidRPr="00A40DA6" w:rsidRDefault="00732A3C" w:rsidP="00A40DA6">
          <w:pPr>
            <w:pStyle w:val="20"/>
            <w:tabs>
              <w:tab w:val="right" w:leader="dot" w:pos="8296"/>
            </w:tabs>
            <w:spacing w:line="324" w:lineRule="auto"/>
            <w:rPr>
              <w:noProof/>
              <w:sz w:val="24"/>
            </w:rPr>
          </w:pPr>
          <w:hyperlink w:anchor="_Toc224026620" w:history="1">
            <w:r w:rsidR="00A40DA6" w:rsidRPr="00A40DA6">
              <w:rPr>
                <w:rStyle w:val="ab"/>
                <w:rFonts w:ascii="黑体" w:hAnsi="黑体" w:cs="黑体"/>
                <w:noProof/>
                <w:kern w:val="44"/>
                <w:sz w:val="24"/>
              </w:rPr>
              <w:t>9.1</w:t>
            </w:r>
            <w:r w:rsidR="00A40DA6" w:rsidRPr="00A40DA6">
              <w:rPr>
                <w:rStyle w:val="ab"/>
                <w:rFonts w:ascii="黑体" w:hAnsi="黑体" w:cs="黑体" w:hint="eastAsia"/>
                <w:noProof/>
                <w:kern w:val="44"/>
                <w:sz w:val="24"/>
              </w:rPr>
              <w:t xml:space="preserve"> </w:t>
            </w:r>
            <w:r w:rsidR="00A40DA6" w:rsidRPr="00A40DA6">
              <w:rPr>
                <w:rStyle w:val="ab"/>
                <w:rFonts w:ascii="黑体" w:hAnsi="黑体" w:cs="黑体" w:hint="eastAsia"/>
                <w:noProof/>
                <w:kern w:val="44"/>
                <w:sz w:val="24"/>
              </w:rPr>
              <w:t>一般规定</w:t>
            </w:r>
            <w:r w:rsidR="00A40DA6" w:rsidRPr="00A40DA6">
              <w:rPr>
                <w:noProof/>
                <w:webHidden/>
                <w:sz w:val="24"/>
              </w:rPr>
              <w:tab/>
            </w:r>
            <w:r w:rsidR="00A40DA6" w:rsidRPr="00A40DA6">
              <w:rPr>
                <w:noProof/>
                <w:webHidden/>
                <w:sz w:val="24"/>
              </w:rPr>
              <w:fldChar w:fldCharType="begin"/>
            </w:r>
            <w:r w:rsidR="00A40DA6" w:rsidRPr="00A40DA6">
              <w:rPr>
                <w:noProof/>
                <w:webHidden/>
                <w:sz w:val="24"/>
              </w:rPr>
              <w:instrText xml:space="preserve"> PAGEREF _Toc224026620 \h </w:instrText>
            </w:r>
            <w:r w:rsidR="00A40DA6" w:rsidRPr="00A40DA6">
              <w:rPr>
                <w:noProof/>
                <w:webHidden/>
                <w:sz w:val="24"/>
              </w:rPr>
            </w:r>
            <w:r w:rsidR="00A40DA6" w:rsidRPr="00A40DA6">
              <w:rPr>
                <w:noProof/>
                <w:webHidden/>
                <w:sz w:val="24"/>
              </w:rPr>
              <w:fldChar w:fldCharType="separate"/>
            </w:r>
            <w:r w:rsidR="00A40DA6" w:rsidRPr="00A40DA6">
              <w:rPr>
                <w:noProof/>
                <w:webHidden/>
                <w:sz w:val="24"/>
              </w:rPr>
              <w:t>41</w:t>
            </w:r>
            <w:r w:rsidR="00A40DA6" w:rsidRPr="00A40DA6">
              <w:rPr>
                <w:noProof/>
                <w:webHidden/>
                <w:sz w:val="24"/>
              </w:rPr>
              <w:fldChar w:fldCharType="end"/>
            </w:r>
          </w:hyperlink>
        </w:p>
        <w:p w:rsidR="00A40DA6" w:rsidRPr="00A40DA6" w:rsidRDefault="00732A3C" w:rsidP="00A40DA6">
          <w:pPr>
            <w:pStyle w:val="20"/>
            <w:tabs>
              <w:tab w:val="right" w:leader="dot" w:pos="8296"/>
            </w:tabs>
            <w:spacing w:line="324" w:lineRule="auto"/>
            <w:rPr>
              <w:noProof/>
              <w:sz w:val="24"/>
            </w:rPr>
          </w:pPr>
          <w:hyperlink w:anchor="_Toc224026621" w:history="1">
            <w:r w:rsidR="00A40DA6" w:rsidRPr="00A40DA6">
              <w:rPr>
                <w:rStyle w:val="ab"/>
                <w:rFonts w:ascii="黑体" w:hAnsi="黑体" w:cs="黑体"/>
                <w:noProof/>
                <w:kern w:val="44"/>
                <w:sz w:val="24"/>
              </w:rPr>
              <w:t>9.2</w:t>
            </w:r>
            <w:r w:rsidR="00A40DA6" w:rsidRPr="00A40DA6">
              <w:rPr>
                <w:rStyle w:val="ab"/>
                <w:rFonts w:ascii="黑体" w:hAnsi="黑体" w:cs="黑体" w:hint="eastAsia"/>
                <w:noProof/>
                <w:kern w:val="44"/>
                <w:sz w:val="24"/>
              </w:rPr>
              <w:t xml:space="preserve"> </w:t>
            </w:r>
            <w:r w:rsidR="00A40DA6" w:rsidRPr="00A40DA6">
              <w:rPr>
                <w:rStyle w:val="ab"/>
                <w:rFonts w:ascii="黑体" w:hAnsi="黑体" w:cs="黑体" w:hint="eastAsia"/>
                <w:noProof/>
                <w:kern w:val="44"/>
                <w:sz w:val="24"/>
              </w:rPr>
              <w:t>同步提升质量检验</w:t>
            </w:r>
            <w:r w:rsidR="00A40DA6" w:rsidRPr="00A40DA6">
              <w:rPr>
                <w:noProof/>
                <w:webHidden/>
                <w:sz w:val="24"/>
              </w:rPr>
              <w:tab/>
            </w:r>
            <w:r w:rsidR="00A40DA6" w:rsidRPr="00A40DA6">
              <w:rPr>
                <w:noProof/>
                <w:webHidden/>
                <w:sz w:val="24"/>
              </w:rPr>
              <w:fldChar w:fldCharType="begin"/>
            </w:r>
            <w:r w:rsidR="00A40DA6" w:rsidRPr="00A40DA6">
              <w:rPr>
                <w:noProof/>
                <w:webHidden/>
                <w:sz w:val="24"/>
              </w:rPr>
              <w:instrText xml:space="preserve"> PAGEREF _Toc224026621 \h </w:instrText>
            </w:r>
            <w:r w:rsidR="00A40DA6" w:rsidRPr="00A40DA6">
              <w:rPr>
                <w:noProof/>
                <w:webHidden/>
                <w:sz w:val="24"/>
              </w:rPr>
            </w:r>
            <w:r w:rsidR="00A40DA6" w:rsidRPr="00A40DA6">
              <w:rPr>
                <w:noProof/>
                <w:webHidden/>
                <w:sz w:val="24"/>
              </w:rPr>
              <w:fldChar w:fldCharType="separate"/>
            </w:r>
            <w:r w:rsidR="00A40DA6" w:rsidRPr="00A40DA6">
              <w:rPr>
                <w:noProof/>
                <w:webHidden/>
                <w:sz w:val="24"/>
              </w:rPr>
              <w:t>41</w:t>
            </w:r>
            <w:r w:rsidR="00A40DA6" w:rsidRPr="00A40DA6">
              <w:rPr>
                <w:noProof/>
                <w:webHidden/>
                <w:sz w:val="24"/>
              </w:rPr>
              <w:fldChar w:fldCharType="end"/>
            </w:r>
          </w:hyperlink>
        </w:p>
        <w:p w:rsidR="00A40DA6" w:rsidRPr="00A40DA6" w:rsidRDefault="00732A3C" w:rsidP="00A40DA6">
          <w:pPr>
            <w:pStyle w:val="20"/>
            <w:tabs>
              <w:tab w:val="right" w:leader="dot" w:pos="8296"/>
            </w:tabs>
            <w:spacing w:line="324" w:lineRule="auto"/>
            <w:rPr>
              <w:noProof/>
              <w:sz w:val="24"/>
            </w:rPr>
          </w:pPr>
          <w:hyperlink w:anchor="_Toc224026622" w:history="1">
            <w:r w:rsidR="00A40DA6" w:rsidRPr="00A40DA6">
              <w:rPr>
                <w:rStyle w:val="ab"/>
                <w:rFonts w:ascii="黑体" w:hAnsi="黑体" w:cs="黑体"/>
                <w:noProof/>
                <w:kern w:val="44"/>
                <w:sz w:val="24"/>
              </w:rPr>
              <w:t>9.3</w:t>
            </w:r>
            <w:r w:rsidR="00A40DA6" w:rsidRPr="00A40DA6">
              <w:rPr>
                <w:rStyle w:val="ab"/>
                <w:rFonts w:ascii="黑体" w:hAnsi="黑体" w:cs="黑体" w:hint="eastAsia"/>
                <w:noProof/>
                <w:kern w:val="44"/>
                <w:sz w:val="24"/>
              </w:rPr>
              <w:t xml:space="preserve"> </w:t>
            </w:r>
            <w:r w:rsidR="00A40DA6" w:rsidRPr="00A40DA6">
              <w:rPr>
                <w:rStyle w:val="ab"/>
                <w:rFonts w:ascii="黑体" w:hAnsi="黑体" w:cs="黑体" w:hint="eastAsia"/>
                <w:noProof/>
                <w:kern w:val="44"/>
                <w:sz w:val="24"/>
              </w:rPr>
              <w:t>同步滑移质量检验</w:t>
            </w:r>
            <w:r w:rsidR="00A40DA6" w:rsidRPr="00A40DA6">
              <w:rPr>
                <w:noProof/>
                <w:webHidden/>
                <w:sz w:val="24"/>
              </w:rPr>
              <w:tab/>
            </w:r>
            <w:r w:rsidR="00A40DA6" w:rsidRPr="00A40DA6">
              <w:rPr>
                <w:noProof/>
                <w:webHidden/>
                <w:sz w:val="24"/>
              </w:rPr>
              <w:fldChar w:fldCharType="begin"/>
            </w:r>
            <w:r w:rsidR="00A40DA6" w:rsidRPr="00A40DA6">
              <w:rPr>
                <w:noProof/>
                <w:webHidden/>
                <w:sz w:val="24"/>
              </w:rPr>
              <w:instrText xml:space="preserve"> PAGEREF _Toc224026622 \h </w:instrText>
            </w:r>
            <w:r w:rsidR="00A40DA6" w:rsidRPr="00A40DA6">
              <w:rPr>
                <w:noProof/>
                <w:webHidden/>
                <w:sz w:val="24"/>
              </w:rPr>
            </w:r>
            <w:r w:rsidR="00A40DA6" w:rsidRPr="00A40DA6">
              <w:rPr>
                <w:noProof/>
                <w:webHidden/>
                <w:sz w:val="24"/>
              </w:rPr>
              <w:fldChar w:fldCharType="separate"/>
            </w:r>
            <w:r w:rsidR="00A40DA6" w:rsidRPr="00A40DA6">
              <w:rPr>
                <w:noProof/>
                <w:webHidden/>
                <w:sz w:val="24"/>
              </w:rPr>
              <w:t>41</w:t>
            </w:r>
            <w:r w:rsidR="00A40DA6" w:rsidRPr="00A40DA6">
              <w:rPr>
                <w:noProof/>
                <w:webHidden/>
                <w:sz w:val="24"/>
              </w:rPr>
              <w:fldChar w:fldCharType="end"/>
            </w:r>
          </w:hyperlink>
        </w:p>
        <w:p w:rsidR="00A40DA6" w:rsidRDefault="00732A3C" w:rsidP="00A40DA6">
          <w:pPr>
            <w:pStyle w:val="20"/>
            <w:tabs>
              <w:tab w:val="right" w:leader="dot" w:pos="8296"/>
            </w:tabs>
            <w:spacing w:line="324" w:lineRule="auto"/>
            <w:rPr>
              <w:noProof/>
              <w:szCs w:val="22"/>
            </w:rPr>
          </w:pPr>
          <w:hyperlink w:anchor="_Toc224026623" w:history="1">
            <w:r w:rsidR="00A40DA6" w:rsidRPr="00A40DA6">
              <w:rPr>
                <w:rStyle w:val="ab"/>
                <w:rFonts w:ascii="黑体" w:hAnsi="黑体" w:cs="黑体"/>
                <w:noProof/>
                <w:kern w:val="44"/>
                <w:sz w:val="24"/>
              </w:rPr>
              <w:t>9.4</w:t>
            </w:r>
            <w:r w:rsidR="00A40DA6" w:rsidRPr="00A40DA6">
              <w:rPr>
                <w:rStyle w:val="ab"/>
                <w:rFonts w:ascii="黑体" w:hAnsi="黑体" w:cs="黑体" w:hint="eastAsia"/>
                <w:noProof/>
                <w:kern w:val="44"/>
                <w:sz w:val="24"/>
              </w:rPr>
              <w:t xml:space="preserve"> </w:t>
            </w:r>
            <w:r w:rsidR="00A40DA6" w:rsidRPr="00A40DA6">
              <w:rPr>
                <w:rStyle w:val="ab"/>
                <w:rFonts w:ascii="黑体" w:hAnsi="黑体" w:cs="黑体" w:hint="eastAsia"/>
                <w:noProof/>
                <w:kern w:val="44"/>
                <w:sz w:val="24"/>
              </w:rPr>
              <w:t>步履式顶推质量检验</w:t>
            </w:r>
            <w:r w:rsidR="00A40DA6" w:rsidRPr="00A40DA6">
              <w:rPr>
                <w:noProof/>
                <w:webHidden/>
                <w:sz w:val="24"/>
              </w:rPr>
              <w:tab/>
            </w:r>
            <w:r w:rsidR="00A40DA6" w:rsidRPr="00A40DA6">
              <w:rPr>
                <w:noProof/>
                <w:webHidden/>
                <w:sz w:val="24"/>
              </w:rPr>
              <w:fldChar w:fldCharType="begin"/>
            </w:r>
            <w:r w:rsidR="00A40DA6" w:rsidRPr="00A40DA6">
              <w:rPr>
                <w:noProof/>
                <w:webHidden/>
                <w:sz w:val="24"/>
              </w:rPr>
              <w:instrText xml:space="preserve"> PAGEREF _Toc224026623 \h </w:instrText>
            </w:r>
            <w:r w:rsidR="00A40DA6" w:rsidRPr="00A40DA6">
              <w:rPr>
                <w:noProof/>
                <w:webHidden/>
                <w:sz w:val="24"/>
              </w:rPr>
            </w:r>
            <w:r w:rsidR="00A40DA6" w:rsidRPr="00A40DA6">
              <w:rPr>
                <w:noProof/>
                <w:webHidden/>
                <w:sz w:val="24"/>
              </w:rPr>
              <w:fldChar w:fldCharType="separate"/>
            </w:r>
            <w:r w:rsidR="00A40DA6" w:rsidRPr="00A40DA6">
              <w:rPr>
                <w:noProof/>
                <w:webHidden/>
                <w:sz w:val="24"/>
              </w:rPr>
              <w:t>43</w:t>
            </w:r>
            <w:r w:rsidR="00A40DA6" w:rsidRPr="00A40DA6">
              <w:rPr>
                <w:noProof/>
                <w:webHidden/>
                <w:sz w:val="24"/>
              </w:rPr>
              <w:fldChar w:fldCharType="end"/>
            </w:r>
          </w:hyperlink>
        </w:p>
        <w:p w:rsidR="00BA6061" w:rsidRDefault="00610DB9">
          <w:pPr>
            <w:spacing w:line="300" w:lineRule="auto"/>
          </w:pPr>
          <w:r>
            <w:rPr>
              <w:b/>
              <w:bCs/>
              <w:sz w:val="24"/>
              <w:szCs w:val="24"/>
              <w:lang w:val="zh-CN"/>
            </w:rPr>
            <w:fldChar w:fldCharType="end"/>
          </w:r>
        </w:p>
      </w:sdtContent>
    </w:sdt>
    <w:p w:rsidR="00BA6061" w:rsidRDefault="00BA6061">
      <w:pPr>
        <w:rPr>
          <w:rFonts w:ascii="Times New Roman" w:hAnsi="Times New Roman"/>
          <w:sz w:val="24"/>
        </w:rPr>
        <w:sectPr w:rsidR="00BA6061">
          <w:footerReference w:type="default" r:id="rId11"/>
          <w:pgSz w:w="11906" w:h="16838"/>
          <w:pgMar w:top="1440" w:right="1800" w:bottom="1440" w:left="1800" w:header="851" w:footer="992" w:gutter="0"/>
          <w:pgNumType w:start="1"/>
          <w:cols w:space="425"/>
          <w:docGrid w:type="lines" w:linePitch="312"/>
        </w:sectPr>
      </w:pPr>
    </w:p>
    <w:p w:rsidR="00BA6061" w:rsidRDefault="00BA6061"/>
    <w:p w:rsidR="00BA6061" w:rsidRDefault="00BA6061"/>
    <w:bookmarkEnd w:id="0"/>
    <w:bookmarkEnd w:id="1"/>
    <w:bookmarkEnd w:id="2"/>
    <w:bookmarkEnd w:id="3"/>
    <w:bookmarkEnd w:id="4"/>
    <w:p w:rsidR="00BA6061" w:rsidRDefault="00610DB9" w:rsidP="00BF12E9">
      <w:pPr>
        <w:pStyle w:val="1"/>
        <w:keepNext w:val="0"/>
        <w:keepLines w:val="0"/>
        <w:spacing w:before="312" w:after="312"/>
      </w:pPr>
      <w:r>
        <w:rPr>
          <w:rFonts w:hint="eastAsia"/>
        </w:rPr>
        <w:t xml:space="preserve">  </w:t>
      </w:r>
      <w:bookmarkStart w:id="16" w:name="_Toc224026597"/>
      <w:r>
        <w:rPr>
          <w:rFonts w:hint="eastAsia"/>
        </w:rPr>
        <w:t>总则</w:t>
      </w:r>
      <w:bookmarkEnd w:id="16"/>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为规范</w:t>
      </w:r>
      <w:bookmarkStart w:id="17" w:name="OLE_LINK1"/>
      <w:bookmarkStart w:id="18" w:name="OLE_LINK2"/>
      <w:r>
        <w:rPr>
          <w:rFonts w:ascii="宋体" w:eastAsia="宋体" w:hAnsi="宋体" w:cs="宋体" w:hint="eastAsia"/>
          <w:sz w:val="24"/>
          <w:szCs w:val="24"/>
        </w:rPr>
        <w:t>大型结构整体安装同步施工结构</w:t>
      </w:r>
      <w:bookmarkEnd w:id="17"/>
      <w:bookmarkEnd w:id="18"/>
      <w:r>
        <w:rPr>
          <w:rFonts w:ascii="宋体" w:eastAsia="宋体" w:hAnsi="宋体" w:cs="宋体" w:hint="eastAsia"/>
          <w:sz w:val="24"/>
          <w:szCs w:val="24"/>
        </w:rPr>
        <w:t>的设计、施工与质量检验，做到安全可靠、经济合理、适用耐久、技术先进，制定本标准。</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本标准适用于采用同步提升、同步滑移和步履式同步顶推施工工艺的大型结构的设计、施工与质量检验。</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sectPr w:rsidR="00BA6061">
          <w:footerReference w:type="default" r:id="rId12"/>
          <w:pgSz w:w="11906" w:h="16838"/>
          <w:pgMar w:top="1440" w:right="1800" w:bottom="1440" w:left="1800" w:header="851" w:footer="992" w:gutter="0"/>
          <w:pgNumType w:start="1"/>
          <w:cols w:space="425"/>
          <w:docGrid w:type="lines" w:linePitch="312"/>
        </w:sectPr>
      </w:pPr>
      <w:r>
        <w:rPr>
          <w:rFonts w:ascii="宋体" w:eastAsia="宋体" w:hAnsi="宋体" w:cs="宋体" w:hint="eastAsia"/>
          <w:sz w:val="24"/>
          <w:szCs w:val="24"/>
        </w:rPr>
        <w:t xml:space="preserve"> 大型结构整体安装同步施工结构的设计、施工与质量验收，除应符合本规程的规定外，尚应符合国家现行有关标准的规定。</w:t>
      </w:r>
    </w:p>
    <w:p w:rsidR="00BA6061" w:rsidRDefault="00610DB9" w:rsidP="00BF12E9">
      <w:pPr>
        <w:pStyle w:val="1"/>
        <w:keepNext w:val="0"/>
        <w:keepLines w:val="0"/>
        <w:spacing w:before="312" w:after="312"/>
      </w:pPr>
      <w:r>
        <w:rPr>
          <w:rFonts w:hint="eastAsia"/>
        </w:rPr>
        <w:lastRenderedPageBreak/>
        <w:t xml:space="preserve">  </w:t>
      </w:r>
      <w:bookmarkStart w:id="19" w:name="_Toc224026598"/>
      <w:r>
        <w:rPr>
          <w:rFonts w:hint="eastAsia"/>
        </w:rPr>
        <w:t>术语</w:t>
      </w:r>
      <w:bookmarkEnd w:id="19"/>
    </w:p>
    <w:p w:rsidR="00BA6061" w:rsidRDefault="00BA6061">
      <w:pPr>
        <w:pStyle w:val="ad"/>
        <w:numPr>
          <w:ilvl w:val="0"/>
          <w:numId w:val="3"/>
        </w:numPr>
        <w:spacing w:line="360" w:lineRule="auto"/>
        <w:ind w:firstLineChars="0"/>
        <w:jc w:val="left"/>
        <w:rPr>
          <w:rFonts w:ascii="宋体" w:eastAsia="宋体" w:hAnsi="宋体" w:cs="宋体"/>
          <w:vanish/>
          <w:sz w:val="24"/>
          <w:szCs w:val="24"/>
        </w:rPr>
      </w:pPr>
    </w:p>
    <w:p w:rsidR="00BA6061" w:rsidRDefault="00BA6061">
      <w:pPr>
        <w:pStyle w:val="ad"/>
        <w:numPr>
          <w:ilvl w:val="1"/>
          <w:numId w:val="3"/>
        </w:numPr>
        <w:spacing w:line="360" w:lineRule="auto"/>
        <w:ind w:firstLineChars="0"/>
        <w:jc w:val="left"/>
        <w:rPr>
          <w:rFonts w:ascii="宋体" w:eastAsia="宋体" w:hAnsi="宋体" w:cs="宋体"/>
          <w:vanish/>
          <w:sz w:val="24"/>
          <w:szCs w:val="24"/>
        </w:rPr>
      </w:pPr>
    </w:p>
    <w:p w:rsidR="00BA6061" w:rsidRDefault="00BA6061">
      <w:pPr>
        <w:pStyle w:val="ad"/>
        <w:numPr>
          <w:ilvl w:val="1"/>
          <w:numId w:val="3"/>
        </w:numPr>
        <w:spacing w:line="360" w:lineRule="auto"/>
        <w:ind w:firstLineChars="0"/>
        <w:jc w:val="left"/>
        <w:rPr>
          <w:rFonts w:ascii="宋体" w:eastAsia="宋体" w:hAnsi="宋体" w:cs="宋体"/>
          <w:vanish/>
          <w:sz w:val="24"/>
          <w:szCs w:val="24"/>
        </w:rPr>
      </w:pPr>
    </w:p>
    <w:p w:rsidR="00BA6061" w:rsidRDefault="00610DB9">
      <w:pPr>
        <w:pStyle w:val="ad"/>
        <w:numPr>
          <w:ilvl w:val="2"/>
          <w:numId w:val="3"/>
        </w:numPr>
        <w:spacing w:line="360" w:lineRule="auto"/>
        <w:ind w:firstLineChars="0"/>
        <w:jc w:val="left"/>
        <w:rPr>
          <w:rFonts w:ascii="宋体" w:eastAsia="宋体" w:hAnsi="宋体" w:cs="宋体"/>
          <w:sz w:val="24"/>
          <w:szCs w:val="24"/>
        </w:rPr>
      </w:pPr>
      <w:r>
        <w:rPr>
          <w:rFonts w:ascii="宋体" w:eastAsia="宋体" w:hAnsi="宋体" w:cs="宋体" w:hint="eastAsia"/>
          <w:sz w:val="24"/>
          <w:szCs w:val="24"/>
        </w:rPr>
        <w:t>同步提升</w:t>
      </w:r>
    </w:p>
    <w:p w:rsidR="00BA6061" w:rsidRDefault="00610DB9">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将装配成整体的重型工程结构提升到预定高度安装就位的过程。</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同步滑移</w:t>
      </w:r>
    </w:p>
    <w:p w:rsidR="00BA6061" w:rsidRDefault="00610DB9">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将滑移单元置于滑轨上，采用滑移油缸和轨道</w:t>
      </w:r>
      <w:proofErr w:type="gramStart"/>
      <w:r>
        <w:rPr>
          <w:rFonts w:ascii="宋体" w:eastAsia="宋体" w:hAnsi="宋体" w:cs="宋体" w:hint="eastAsia"/>
          <w:sz w:val="24"/>
          <w:szCs w:val="24"/>
        </w:rPr>
        <w:t>夹轨器</w:t>
      </w:r>
      <w:proofErr w:type="gramEnd"/>
      <w:r>
        <w:rPr>
          <w:rFonts w:ascii="宋体" w:eastAsia="宋体" w:hAnsi="宋体" w:cs="宋体" w:hint="eastAsia"/>
          <w:sz w:val="24"/>
          <w:szCs w:val="24"/>
        </w:rPr>
        <w:t>驱动工程结构运行至预定位置，移动过程中不改变结构特性的施工</w:t>
      </w:r>
      <w:proofErr w:type="gramStart"/>
      <w:r>
        <w:rPr>
          <w:rFonts w:ascii="宋体" w:eastAsia="宋体" w:hAnsi="宋体" w:cs="宋体" w:hint="eastAsia"/>
          <w:sz w:val="24"/>
          <w:szCs w:val="24"/>
        </w:rPr>
        <w:t>工</w:t>
      </w:r>
      <w:proofErr w:type="gramEnd"/>
      <w:r>
        <w:rPr>
          <w:rFonts w:ascii="宋体" w:eastAsia="宋体" w:hAnsi="宋体" w:cs="宋体" w:hint="eastAsia"/>
          <w:sz w:val="24"/>
          <w:szCs w:val="24"/>
        </w:rPr>
        <w:t>法。</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步履式同步顶推</w:t>
      </w:r>
    </w:p>
    <w:p w:rsidR="00BA6061" w:rsidRDefault="00610DB9">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工程结构在固定部位制作或拼装，采用专用液压设备通过顶升、推进、下降和回缩四个步骤将已完成制作或拼装的工程结构向前顶推移动，最终到达预定位置的施工</w:t>
      </w:r>
      <w:proofErr w:type="gramStart"/>
      <w:r>
        <w:rPr>
          <w:rFonts w:ascii="宋体" w:eastAsia="宋体" w:hAnsi="宋体" w:cs="宋体" w:hint="eastAsia"/>
          <w:sz w:val="24"/>
          <w:szCs w:val="24"/>
        </w:rPr>
        <w:t>工</w:t>
      </w:r>
      <w:proofErr w:type="gramEnd"/>
      <w:r>
        <w:rPr>
          <w:rFonts w:ascii="宋体" w:eastAsia="宋体" w:hAnsi="宋体" w:cs="宋体" w:hint="eastAsia"/>
          <w:sz w:val="24"/>
          <w:szCs w:val="24"/>
        </w:rPr>
        <w:t>法。</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提升支架</w:t>
      </w:r>
    </w:p>
    <w:p w:rsidR="00BA6061" w:rsidRDefault="00610DB9">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提升过程中承受被提升结构荷载的结构体系。</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液压提升系统</w:t>
      </w:r>
    </w:p>
    <w:p w:rsidR="00BA6061" w:rsidRDefault="00610DB9">
      <w:pPr>
        <w:spacing w:line="360" w:lineRule="auto"/>
        <w:ind w:firstLineChars="200" w:firstLine="480"/>
        <w:jc w:val="left"/>
        <w:rPr>
          <w:rFonts w:ascii="宋体" w:eastAsia="宋体" w:hAnsi="宋体" w:cs="宋体"/>
          <w:sz w:val="24"/>
          <w:szCs w:val="24"/>
        </w:rPr>
      </w:pPr>
      <w:r>
        <w:rPr>
          <w:rFonts w:ascii="宋体" w:eastAsia="宋体" w:hAnsi="宋体" w:cs="宋体" w:hint="eastAsia"/>
          <w:sz w:val="24"/>
          <w:szCs w:val="24"/>
        </w:rPr>
        <w:t>对完成整体提升的设备组合，包含用于承载的钢绞线、提升油缸、液压泵站、检测传感器和控制计算机。</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顶推体</w:t>
      </w:r>
    </w:p>
    <w:p w:rsidR="00BA6061" w:rsidRDefault="00610DB9">
      <w:pPr>
        <w:spacing w:line="360" w:lineRule="auto"/>
        <w:ind w:firstLineChars="200" w:firstLine="480"/>
        <w:jc w:val="left"/>
        <w:rPr>
          <w:rFonts w:ascii="宋体" w:eastAsia="宋体" w:hAnsi="宋体" w:cs="宋体"/>
          <w:bCs/>
          <w:sz w:val="24"/>
          <w:szCs w:val="24"/>
        </w:rPr>
      </w:pPr>
      <w:r>
        <w:rPr>
          <w:rFonts w:ascii="宋体" w:eastAsia="宋体" w:hAnsi="宋体" w:cs="宋体" w:hint="eastAsia"/>
          <w:bCs/>
          <w:sz w:val="24"/>
          <w:szCs w:val="24"/>
        </w:rPr>
        <w:t>顶推施工中被顶推的已完成制作或拼装的结构体，包含被顶推的桥梁主体结构和与桥梁主体结构连为一体共同受力的临时结构。</w:t>
      </w:r>
    </w:p>
    <w:p w:rsidR="00BA6061" w:rsidRDefault="00610DB9">
      <w:pPr>
        <w:pStyle w:val="ad"/>
        <w:numPr>
          <w:ilvl w:val="2"/>
          <w:numId w:val="3"/>
        </w:numPr>
        <w:spacing w:line="360" w:lineRule="auto"/>
        <w:ind w:left="0" w:firstLineChars="0" w:firstLine="0"/>
        <w:jc w:val="left"/>
        <w:rPr>
          <w:rFonts w:ascii="宋体" w:eastAsia="宋体" w:hAnsi="宋体" w:cs="宋体"/>
          <w:bCs/>
          <w:sz w:val="24"/>
          <w:szCs w:val="24"/>
        </w:rPr>
      </w:pPr>
      <w:r>
        <w:rPr>
          <w:rFonts w:ascii="宋体" w:eastAsia="宋体" w:hAnsi="宋体" w:cs="宋体" w:hint="eastAsia"/>
          <w:bCs/>
          <w:sz w:val="24"/>
          <w:szCs w:val="24"/>
        </w:rPr>
        <w:t>顶推平台</w:t>
      </w:r>
    </w:p>
    <w:p w:rsidR="00BA6061" w:rsidRDefault="00610DB9">
      <w:pPr>
        <w:spacing w:line="360" w:lineRule="auto"/>
        <w:ind w:firstLineChars="200" w:firstLine="480"/>
        <w:jc w:val="left"/>
        <w:rPr>
          <w:rFonts w:ascii="宋体" w:eastAsia="宋体" w:hAnsi="宋体" w:cs="宋体"/>
          <w:bCs/>
          <w:sz w:val="24"/>
          <w:szCs w:val="24"/>
        </w:rPr>
      </w:pPr>
      <w:r>
        <w:rPr>
          <w:rFonts w:ascii="宋体" w:eastAsia="宋体" w:hAnsi="宋体" w:cs="宋体" w:hint="eastAsia"/>
          <w:bCs/>
          <w:sz w:val="24"/>
          <w:szCs w:val="24"/>
        </w:rPr>
        <w:t>现场进行梁段预制、制作或拼装，为实施顶推作业而设置的工作台座。</w:t>
      </w:r>
    </w:p>
    <w:p w:rsidR="00BA6061" w:rsidRDefault="00610DB9">
      <w:pPr>
        <w:pStyle w:val="ad"/>
        <w:numPr>
          <w:ilvl w:val="2"/>
          <w:numId w:val="3"/>
        </w:numPr>
        <w:spacing w:line="360" w:lineRule="auto"/>
        <w:ind w:left="0" w:firstLineChars="0" w:firstLine="0"/>
        <w:jc w:val="left"/>
        <w:rPr>
          <w:rFonts w:ascii="宋体" w:eastAsia="宋体" w:hAnsi="宋体" w:cs="宋体"/>
          <w:bCs/>
          <w:sz w:val="24"/>
          <w:szCs w:val="24"/>
        </w:rPr>
      </w:pPr>
      <w:r>
        <w:rPr>
          <w:rFonts w:ascii="宋体" w:eastAsia="宋体" w:hAnsi="宋体" w:cs="宋体" w:hint="eastAsia"/>
          <w:bCs/>
          <w:sz w:val="24"/>
          <w:szCs w:val="24"/>
        </w:rPr>
        <w:t>顶推跨径</w:t>
      </w:r>
    </w:p>
    <w:p w:rsidR="00BA6061" w:rsidRDefault="00610DB9">
      <w:pPr>
        <w:spacing w:line="360" w:lineRule="auto"/>
        <w:ind w:firstLineChars="200" w:firstLine="480"/>
        <w:jc w:val="left"/>
        <w:rPr>
          <w:rFonts w:ascii="宋体" w:eastAsia="宋体" w:hAnsi="宋体" w:cs="宋体"/>
          <w:bCs/>
          <w:sz w:val="24"/>
          <w:szCs w:val="24"/>
        </w:rPr>
      </w:pPr>
      <w:r>
        <w:rPr>
          <w:rFonts w:ascii="宋体" w:eastAsia="宋体" w:hAnsi="宋体" w:cs="宋体" w:hint="eastAsia"/>
          <w:bCs/>
          <w:sz w:val="24"/>
          <w:szCs w:val="24"/>
        </w:rPr>
        <w:t>顶推施工过程中支撑顶推体的两相邻支承点距离。</w:t>
      </w:r>
    </w:p>
    <w:p w:rsidR="00BA6061" w:rsidRDefault="00610DB9">
      <w:pPr>
        <w:pStyle w:val="ad"/>
        <w:numPr>
          <w:ilvl w:val="2"/>
          <w:numId w:val="3"/>
        </w:numPr>
        <w:spacing w:line="360" w:lineRule="auto"/>
        <w:ind w:left="0" w:firstLineChars="0" w:firstLine="0"/>
        <w:jc w:val="left"/>
        <w:rPr>
          <w:rFonts w:ascii="宋体" w:eastAsia="宋体" w:hAnsi="宋体" w:cs="宋体"/>
          <w:bCs/>
          <w:sz w:val="24"/>
          <w:szCs w:val="24"/>
        </w:rPr>
      </w:pPr>
      <w:r>
        <w:rPr>
          <w:rFonts w:ascii="宋体" w:eastAsia="宋体" w:hAnsi="宋体" w:cs="宋体" w:hint="eastAsia"/>
          <w:sz w:val="24"/>
          <w:szCs w:val="24"/>
        </w:rPr>
        <w:t>顶推</w:t>
      </w:r>
      <w:r>
        <w:rPr>
          <w:rFonts w:ascii="宋体" w:eastAsia="宋体" w:hAnsi="宋体" w:cs="宋体" w:hint="eastAsia"/>
          <w:bCs/>
          <w:sz w:val="24"/>
          <w:szCs w:val="24"/>
        </w:rPr>
        <w:t>支墩</w:t>
      </w:r>
    </w:p>
    <w:p w:rsidR="00BA6061" w:rsidRDefault="00610DB9">
      <w:pPr>
        <w:spacing w:line="360" w:lineRule="auto"/>
        <w:ind w:firstLineChars="200" w:firstLine="480"/>
        <w:jc w:val="left"/>
        <w:rPr>
          <w:rFonts w:ascii="宋体" w:eastAsia="宋体" w:hAnsi="宋体" w:cs="宋体"/>
          <w:bCs/>
          <w:sz w:val="24"/>
          <w:szCs w:val="24"/>
        </w:rPr>
      </w:pPr>
      <w:r>
        <w:rPr>
          <w:rFonts w:ascii="宋体" w:eastAsia="宋体" w:hAnsi="宋体" w:cs="宋体" w:hint="eastAsia"/>
          <w:bCs/>
          <w:sz w:val="24"/>
          <w:szCs w:val="24"/>
        </w:rPr>
        <w:t>在桥梁顶推施工过程中用于支撑顶推体、承受施工荷载、保证结构稳定性的支承结构，包括桥墩结构和为减少顶推跨径设置的临时墩。</w:t>
      </w:r>
    </w:p>
    <w:p w:rsidR="00BA6061" w:rsidRDefault="00610DB9">
      <w:pPr>
        <w:pStyle w:val="ad"/>
        <w:numPr>
          <w:ilvl w:val="2"/>
          <w:numId w:val="3"/>
        </w:numPr>
        <w:spacing w:line="360" w:lineRule="auto"/>
        <w:ind w:left="0" w:firstLineChars="0" w:firstLine="0"/>
        <w:jc w:val="left"/>
        <w:rPr>
          <w:rFonts w:ascii="宋体" w:eastAsia="宋体" w:hAnsi="宋体" w:cs="宋体"/>
          <w:bCs/>
          <w:sz w:val="24"/>
          <w:szCs w:val="24"/>
        </w:rPr>
      </w:pPr>
      <w:r>
        <w:rPr>
          <w:rFonts w:ascii="宋体" w:eastAsia="宋体" w:hAnsi="宋体" w:cs="宋体" w:hint="eastAsia"/>
          <w:bCs/>
          <w:sz w:val="24"/>
          <w:szCs w:val="24"/>
        </w:rPr>
        <w:t>导梁</w:t>
      </w:r>
    </w:p>
    <w:p w:rsidR="00BA6061" w:rsidRDefault="00610DB9">
      <w:pPr>
        <w:spacing w:line="360" w:lineRule="auto"/>
        <w:ind w:firstLineChars="200" w:firstLine="480"/>
        <w:jc w:val="left"/>
        <w:rPr>
          <w:rFonts w:ascii="宋体" w:eastAsia="宋体" w:hAnsi="宋体" w:cs="宋体"/>
          <w:bCs/>
          <w:sz w:val="24"/>
          <w:szCs w:val="24"/>
        </w:rPr>
      </w:pPr>
      <w:r>
        <w:rPr>
          <w:rFonts w:ascii="宋体" w:eastAsia="宋体" w:hAnsi="宋体" w:cs="宋体" w:hint="eastAsia"/>
          <w:bCs/>
          <w:sz w:val="24"/>
          <w:szCs w:val="24"/>
        </w:rPr>
        <w:t>连接在桥梁主体结构前后端，用于对桥梁进行导向并改善顶推过程中桥梁主体结构受力的临时结构。</w:t>
      </w:r>
    </w:p>
    <w:p w:rsidR="00BA6061" w:rsidRDefault="00BA6061">
      <w:pPr>
        <w:spacing w:line="360" w:lineRule="auto"/>
        <w:ind w:firstLineChars="200" w:firstLine="480"/>
        <w:jc w:val="left"/>
        <w:rPr>
          <w:rFonts w:ascii="宋体" w:eastAsia="宋体" w:hAnsi="宋体" w:cs="宋体"/>
          <w:sz w:val="24"/>
          <w:szCs w:val="24"/>
        </w:rPr>
      </w:pPr>
    </w:p>
    <w:p w:rsidR="00BA6061" w:rsidRDefault="00610DB9" w:rsidP="00BF12E9">
      <w:pPr>
        <w:pStyle w:val="1"/>
        <w:keepNext w:val="0"/>
        <w:keepLines w:val="0"/>
        <w:spacing w:before="312" w:after="312"/>
      </w:pPr>
      <w:r>
        <w:rPr>
          <w:rFonts w:hint="eastAsia"/>
        </w:rPr>
        <w:t xml:space="preserve">  </w:t>
      </w:r>
      <w:bookmarkStart w:id="20" w:name="_Toc224026599"/>
      <w:r>
        <w:rPr>
          <w:rFonts w:hint="eastAsia"/>
        </w:rPr>
        <w:t>基本规定</w:t>
      </w:r>
      <w:bookmarkEnd w:id="20"/>
    </w:p>
    <w:p w:rsidR="00BA6061" w:rsidRDefault="00BA6061">
      <w:pPr>
        <w:pStyle w:val="ad"/>
        <w:numPr>
          <w:ilvl w:val="0"/>
          <w:numId w:val="3"/>
        </w:numPr>
        <w:spacing w:line="360" w:lineRule="auto"/>
        <w:ind w:firstLineChars="0"/>
        <w:jc w:val="left"/>
        <w:rPr>
          <w:rFonts w:ascii="宋体" w:eastAsia="宋体" w:hAnsi="宋体" w:cs="宋体"/>
          <w:vanish/>
          <w:sz w:val="24"/>
          <w:szCs w:val="24"/>
        </w:rPr>
      </w:pPr>
      <w:bookmarkStart w:id="21" w:name="OLE_LINK3"/>
      <w:bookmarkStart w:id="22" w:name="OLE_LINK4"/>
    </w:p>
    <w:p w:rsidR="00BA6061" w:rsidRDefault="00BA6061">
      <w:pPr>
        <w:pStyle w:val="ad"/>
        <w:numPr>
          <w:ilvl w:val="1"/>
          <w:numId w:val="3"/>
        </w:numPr>
        <w:spacing w:line="360" w:lineRule="auto"/>
        <w:ind w:firstLineChars="0"/>
        <w:jc w:val="left"/>
        <w:rPr>
          <w:rFonts w:ascii="宋体" w:eastAsia="宋体" w:hAnsi="宋体" w:cs="宋体"/>
          <w:vanish/>
          <w:sz w:val="24"/>
          <w:szCs w:val="24"/>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同步施工</w:t>
      </w:r>
      <w:bookmarkStart w:id="23" w:name="OLE_LINK5"/>
      <w:bookmarkStart w:id="24" w:name="OLE_LINK6"/>
      <w:r>
        <w:rPr>
          <w:rFonts w:ascii="宋体" w:eastAsia="宋体" w:hAnsi="宋体" w:cs="宋体" w:hint="eastAsia"/>
          <w:sz w:val="24"/>
          <w:szCs w:val="24"/>
        </w:rPr>
        <w:t>应结合工程结构特点和场地条件等因素选择合适的同步施工</w:t>
      </w:r>
      <w:proofErr w:type="gramStart"/>
      <w:r>
        <w:rPr>
          <w:rFonts w:ascii="宋体" w:eastAsia="宋体" w:hAnsi="宋体" w:cs="宋体" w:hint="eastAsia"/>
          <w:sz w:val="24"/>
          <w:szCs w:val="24"/>
        </w:rPr>
        <w:t>工</w:t>
      </w:r>
      <w:proofErr w:type="gramEnd"/>
      <w:r>
        <w:rPr>
          <w:rFonts w:ascii="宋体" w:eastAsia="宋体" w:hAnsi="宋体" w:cs="宋体" w:hint="eastAsia"/>
          <w:sz w:val="24"/>
          <w:szCs w:val="24"/>
        </w:rPr>
        <w:t>法</w:t>
      </w:r>
      <w:bookmarkEnd w:id="23"/>
      <w:bookmarkEnd w:id="24"/>
      <w:r>
        <w:rPr>
          <w:rFonts w:ascii="宋体" w:eastAsia="宋体" w:hAnsi="宋体" w:cs="宋体" w:hint="eastAsia"/>
          <w:sz w:val="24"/>
          <w:szCs w:val="24"/>
        </w:rPr>
        <w:t>。</w:t>
      </w:r>
    </w:p>
    <w:p w:rsidR="00BA6061" w:rsidRDefault="00610DB9">
      <w:pPr>
        <w:pStyle w:val="ad"/>
        <w:spacing w:line="360" w:lineRule="auto"/>
        <w:ind w:firstLine="480"/>
        <w:jc w:val="left"/>
        <w:rPr>
          <w:rFonts w:ascii="宋体" w:eastAsia="宋体" w:hAnsi="宋体" w:cs="宋体"/>
          <w:i/>
          <w:color w:val="00B050"/>
          <w:sz w:val="24"/>
          <w:szCs w:val="24"/>
        </w:rPr>
      </w:pPr>
      <w:bookmarkStart w:id="25" w:name="OLE_LINK8"/>
      <w:bookmarkStart w:id="26" w:name="OLE_LINK7"/>
      <w:r>
        <w:rPr>
          <w:rFonts w:ascii="宋体" w:eastAsia="宋体" w:hAnsi="宋体" w:cs="宋体" w:hint="eastAsia"/>
          <w:i/>
          <w:color w:val="00B050"/>
          <w:sz w:val="24"/>
          <w:szCs w:val="24"/>
        </w:rPr>
        <w:t>条文说明：同步施工技术主要包括同步顶推、同步提升和同步滑移三种</w:t>
      </w:r>
      <w:proofErr w:type="gramStart"/>
      <w:r>
        <w:rPr>
          <w:rFonts w:ascii="宋体" w:eastAsia="宋体" w:hAnsi="宋体" w:cs="宋体" w:hint="eastAsia"/>
          <w:i/>
          <w:color w:val="00B050"/>
          <w:sz w:val="24"/>
          <w:szCs w:val="24"/>
        </w:rPr>
        <w:t>典型工</w:t>
      </w:r>
      <w:proofErr w:type="gramEnd"/>
      <w:r>
        <w:rPr>
          <w:rFonts w:ascii="宋体" w:eastAsia="宋体" w:hAnsi="宋体" w:cs="宋体" w:hint="eastAsia"/>
          <w:i/>
          <w:color w:val="00B050"/>
          <w:sz w:val="24"/>
          <w:szCs w:val="24"/>
        </w:rPr>
        <w:t>法。各</w:t>
      </w:r>
      <w:proofErr w:type="gramStart"/>
      <w:r>
        <w:rPr>
          <w:rFonts w:ascii="宋体" w:eastAsia="宋体" w:hAnsi="宋体" w:cs="宋体" w:hint="eastAsia"/>
          <w:i/>
          <w:color w:val="00B050"/>
          <w:sz w:val="24"/>
          <w:szCs w:val="24"/>
        </w:rPr>
        <w:t>类工法因其</w:t>
      </w:r>
      <w:proofErr w:type="gramEnd"/>
      <w:r>
        <w:rPr>
          <w:rFonts w:ascii="宋体" w:eastAsia="宋体" w:hAnsi="宋体" w:cs="宋体" w:hint="eastAsia"/>
          <w:i/>
          <w:color w:val="00B050"/>
          <w:sz w:val="24"/>
          <w:szCs w:val="24"/>
        </w:rPr>
        <w:t>技术特点不同，具有各自的适用条件，工程中应根据结构特性、施工环境及技术经济性等因素进行综合比选，确定最适合的同步施工</w:t>
      </w:r>
      <w:proofErr w:type="gramStart"/>
      <w:r>
        <w:rPr>
          <w:rFonts w:ascii="宋体" w:eastAsia="宋体" w:hAnsi="宋体" w:cs="宋体" w:hint="eastAsia"/>
          <w:i/>
          <w:color w:val="00B050"/>
          <w:sz w:val="24"/>
          <w:szCs w:val="24"/>
        </w:rPr>
        <w:t>工</w:t>
      </w:r>
      <w:proofErr w:type="gramEnd"/>
      <w:r>
        <w:rPr>
          <w:rFonts w:ascii="宋体" w:eastAsia="宋体" w:hAnsi="宋体" w:cs="宋体" w:hint="eastAsia"/>
          <w:i/>
          <w:color w:val="00B050"/>
          <w:sz w:val="24"/>
          <w:szCs w:val="24"/>
        </w:rPr>
        <w:t>法。</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同步顶推工法通过液压设备将结构沿水平方向分段或连续推进，特别适用于桥梁结构的安装作业。其主要优势在于能够在不中断桥下交通、</w:t>
      </w:r>
      <w:proofErr w:type="gramStart"/>
      <w:r>
        <w:rPr>
          <w:rFonts w:ascii="宋体" w:eastAsia="宋体" w:hAnsi="宋体" w:cs="宋体" w:hint="eastAsia"/>
          <w:i/>
          <w:color w:val="00B050"/>
          <w:sz w:val="24"/>
          <w:szCs w:val="24"/>
        </w:rPr>
        <w:t>不</w:t>
      </w:r>
      <w:proofErr w:type="gramEnd"/>
      <w:r>
        <w:rPr>
          <w:rFonts w:ascii="宋体" w:eastAsia="宋体" w:hAnsi="宋体" w:cs="宋体" w:hint="eastAsia"/>
          <w:i/>
          <w:color w:val="00B050"/>
          <w:sz w:val="24"/>
          <w:szCs w:val="24"/>
        </w:rPr>
        <w:t>断航的条件下完成结构施工，典型应用场景包括跨越铁路、公路、河流、峡谷等障碍的钢梁、</w:t>
      </w:r>
      <w:proofErr w:type="gramStart"/>
      <w:r>
        <w:rPr>
          <w:rFonts w:ascii="宋体" w:eastAsia="宋体" w:hAnsi="宋体" w:cs="宋体" w:hint="eastAsia"/>
          <w:i/>
          <w:color w:val="00B050"/>
          <w:sz w:val="24"/>
          <w:szCs w:val="24"/>
        </w:rPr>
        <w:t>混凝土梁及梁拱</w:t>
      </w:r>
      <w:proofErr w:type="gramEnd"/>
      <w:r>
        <w:rPr>
          <w:rFonts w:ascii="宋体" w:eastAsia="宋体" w:hAnsi="宋体" w:cs="宋体" w:hint="eastAsia"/>
          <w:i/>
          <w:color w:val="00B050"/>
          <w:sz w:val="24"/>
          <w:szCs w:val="24"/>
        </w:rPr>
        <w:t>组合结构施工。</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同步提升工法采用液压提升系统将大型结构整体垂直提升就位，以其控制精度高、同步性能好的特点，广泛应用于大跨度空间结构安装。该工法适用于体育场馆、机场航站楼等大跨度钢网架、钢桁架屋盖的整体提升，以及拱桥、桥塔等大型构件的竖向吊装，能够实现超大型构件的整体平稳就位。</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同步</w:t>
      </w:r>
      <w:proofErr w:type="gramStart"/>
      <w:r>
        <w:rPr>
          <w:rFonts w:ascii="宋体" w:eastAsia="宋体" w:hAnsi="宋体" w:cs="宋体" w:hint="eastAsia"/>
          <w:i/>
          <w:color w:val="00B050"/>
          <w:sz w:val="24"/>
          <w:szCs w:val="24"/>
        </w:rPr>
        <w:t>滑移工</w:t>
      </w:r>
      <w:proofErr w:type="gramEnd"/>
      <w:r>
        <w:rPr>
          <w:rFonts w:ascii="宋体" w:eastAsia="宋体" w:hAnsi="宋体" w:cs="宋体" w:hint="eastAsia"/>
          <w:i/>
          <w:color w:val="00B050"/>
          <w:sz w:val="24"/>
          <w:szCs w:val="24"/>
        </w:rPr>
        <w:t>法通过液压滑移系统使结构沿预设轨道水平移动，以其施工效率高、对场地要求低的优势，在大型空间结构施工中展现出独特价值。该工法适用于大型体育馆、工业厂房、商业中心等建筑的屋盖系统安装，特别适合在施工场地受限、无法使用大型吊装设备的工况下，实现大面积屋</w:t>
      </w:r>
      <w:proofErr w:type="gramStart"/>
      <w:r>
        <w:rPr>
          <w:rFonts w:ascii="宋体" w:eastAsia="宋体" w:hAnsi="宋体" w:cs="宋体" w:hint="eastAsia"/>
          <w:i/>
          <w:color w:val="00B050"/>
          <w:sz w:val="24"/>
          <w:szCs w:val="24"/>
        </w:rPr>
        <w:t>盖系统</w:t>
      </w:r>
      <w:proofErr w:type="gramEnd"/>
      <w:r>
        <w:rPr>
          <w:rFonts w:ascii="宋体" w:eastAsia="宋体" w:hAnsi="宋体" w:cs="宋体" w:hint="eastAsia"/>
          <w:i/>
          <w:color w:val="00B050"/>
          <w:sz w:val="24"/>
          <w:szCs w:val="24"/>
        </w:rPr>
        <w:t>的就位安装。</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在选择同步施工</w:t>
      </w:r>
      <w:proofErr w:type="gramStart"/>
      <w:r>
        <w:rPr>
          <w:rFonts w:ascii="宋体" w:eastAsia="宋体" w:hAnsi="宋体" w:cs="宋体" w:hint="eastAsia"/>
          <w:i/>
          <w:color w:val="00B050"/>
          <w:sz w:val="24"/>
          <w:szCs w:val="24"/>
        </w:rPr>
        <w:t>工</w:t>
      </w:r>
      <w:proofErr w:type="gramEnd"/>
      <w:r>
        <w:rPr>
          <w:rFonts w:ascii="宋体" w:eastAsia="宋体" w:hAnsi="宋体" w:cs="宋体" w:hint="eastAsia"/>
          <w:i/>
          <w:color w:val="00B050"/>
          <w:sz w:val="24"/>
          <w:szCs w:val="24"/>
        </w:rPr>
        <w:t>法时，除考虑工法本身的技术特点外，还需综合评估结构形式、施工条件、工期要求、经济效益及环境影响等多方面因素，通过技术经济比较确定最优方案。</w:t>
      </w:r>
    </w:p>
    <w:bookmarkEnd w:id="25"/>
    <w:bookmarkEnd w:id="26"/>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施工单位应根据国家、行业对危险性较大的分部分项工程管理的有关规定和规范，编制同步施工专项施工方案，并组织专家论证通过后方可实施。</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条文说明：同步施工工艺复杂，施工荷载大，技术风险高，多属于超过一定规模的危险性较大的分部分项工程。</w:t>
      </w:r>
      <w:r>
        <w:rPr>
          <w:rFonts w:ascii="宋体" w:eastAsia="宋体" w:hAnsi="宋体" w:cs="宋体"/>
          <w:i/>
          <w:color w:val="00B050"/>
          <w:sz w:val="24"/>
          <w:szCs w:val="24"/>
        </w:rPr>
        <w:t>施工过程中结构体系</w:t>
      </w:r>
      <w:r>
        <w:rPr>
          <w:rFonts w:ascii="宋体" w:eastAsia="宋体" w:hAnsi="宋体" w:cs="宋体" w:hint="eastAsia"/>
          <w:i/>
          <w:color w:val="00B050"/>
          <w:sz w:val="24"/>
          <w:szCs w:val="24"/>
        </w:rPr>
        <w:t>不断变化</w:t>
      </w:r>
      <w:r>
        <w:rPr>
          <w:rFonts w:ascii="宋体" w:eastAsia="宋体" w:hAnsi="宋体" w:cs="宋体"/>
          <w:i/>
          <w:color w:val="00B050"/>
          <w:sz w:val="24"/>
          <w:szCs w:val="24"/>
        </w:rPr>
        <w:t>、边界条件复杂、同步控制精度要求严苛，存在较高的技术安全风险。</w:t>
      </w:r>
      <w:r>
        <w:rPr>
          <w:rFonts w:ascii="宋体" w:eastAsia="宋体" w:hAnsi="宋体" w:cs="宋体" w:hint="eastAsia"/>
          <w:i/>
          <w:color w:val="00B050"/>
          <w:sz w:val="24"/>
          <w:szCs w:val="24"/>
        </w:rPr>
        <w:t>施工单位应根据国家《危险性较大的分部分项工程安全管理规定》及相关行业要求，编制专项施工方案，并经相关领域的专家论证通过后方可实施。专家论证应重点关注方案的技术可行性、安全性以及可能存在的风险点。</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同步施工中涉及的施工设备及材料应根据国家、行业现行有关标准的规定进行检验，设备进场应进行检验，不得使用国家及行业淘汰的工艺、设备和材料。施工设备应由专业技术人员维护和操作。</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同步施工过程中的临时结构应按现行国家、行业标准的相关规定进行专项设计、施工与质量检验。</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同步施工作业期间应避开大风、冰雪灾害、覆冰等不利气象和环境条件。</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正式施工前应进行试提升、试滑移和试顶推，根据</w:t>
      </w:r>
      <w:proofErr w:type="gramStart"/>
      <w:r>
        <w:rPr>
          <w:rFonts w:ascii="宋体" w:eastAsia="宋体" w:hAnsi="宋体" w:cs="宋体" w:hint="eastAsia"/>
          <w:sz w:val="24"/>
          <w:szCs w:val="24"/>
        </w:rPr>
        <w:t>试施工</w:t>
      </w:r>
      <w:proofErr w:type="gramEnd"/>
      <w:r>
        <w:rPr>
          <w:rFonts w:ascii="宋体" w:eastAsia="宋体" w:hAnsi="宋体" w:cs="宋体" w:hint="eastAsia"/>
          <w:sz w:val="24"/>
          <w:szCs w:val="24"/>
        </w:rPr>
        <w:t>中测定的数据指导正式施工。</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w:t>
      </w:r>
      <w:r>
        <w:rPr>
          <w:rFonts w:ascii="宋体" w:eastAsia="宋体" w:hAnsi="宋体" w:cs="宋体"/>
          <w:i/>
          <w:color w:val="00B050"/>
          <w:sz w:val="24"/>
          <w:szCs w:val="24"/>
        </w:rPr>
        <w:t>试施工（试提升、试顶推、试滑移）是正式施工前检验整个施工系统性能、验证方案可行性的关键环节。其目的在于：</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（1）</w:t>
      </w:r>
      <w:r>
        <w:rPr>
          <w:rFonts w:ascii="宋体" w:eastAsia="宋体" w:hAnsi="宋体" w:cs="宋体"/>
          <w:i/>
          <w:color w:val="00B050"/>
          <w:sz w:val="24"/>
          <w:szCs w:val="24"/>
        </w:rPr>
        <w:t>检验系统可靠性：全面检验液压系统、控制系统、传感检测系统及机械结构的协同工作性能和可靠性。</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（2）</w:t>
      </w:r>
      <w:r>
        <w:rPr>
          <w:rFonts w:ascii="宋体" w:eastAsia="宋体" w:hAnsi="宋体" w:cs="宋体"/>
          <w:i/>
          <w:color w:val="00B050"/>
          <w:sz w:val="24"/>
          <w:szCs w:val="24"/>
        </w:rPr>
        <w:t>获取关键参数：通过实测</w:t>
      </w:r>
      <w:r>
        <w:rPr>
          <w:rFonts w:ascii="宋体" w:eastAsia="宋体" w:hAnsi="宋体" w:cs="宋体" w:hint="eastAsia"/>
          <w:i/>
          <w:color w:val="00B050"/>
          <w:sz w:val="24"/>
          <w:szCs w:val="24"/>
        </w:rPr>
        <w:t>试施工阶段</w:t>
      </w:r>
      <w:r>
        <w:rPr>
          <w:rFonts w:ascii="宋体" w:eastAsia="宋体" w:hAnsi="宋体" w:cs="宋体"/>
          <w:i/>
          <w:color w:val="00B050"/>
          <w:sz w:val="24"/>
          <w:szCs w:val="24"/>
        </w:rPr>
        <w:t>结构内力（应力）、变形（挠度）、位移以及临时结构的沉降、设备的同步性、摩擦系数等，并与理论计算值对比，验证计算模型的准确性。</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（3）</w:t>
      </w:r>
      <w:r>
        <w:rPr>
          <w:rFonts w:ascii="宋体" w:eastAsia="宋体" w:hAnsi="宋体" w:cs="宋体"/>
          <w:i/>
          <w:color w:val="00B050"/>
          <w:sz w:val="24"/>
          <w:szCs w:val="24"/>
        </w:rPr>
        <w:t>磨合团队与流程：使所有操作与监控人员熟悉操作流程和应急响应程序，检验指挥协调体系的畅通性。</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（4）</w:t>
      </w:r>
      <w:r>
        <w:rPr>
          <w:rFonts w:ascii="宋体" w:eastAsia="宋体" w:hAnsi="宋体" w:cs="宋体"/>
          <w:i/>
          <w:color w:val="00B050"/>
          <w:sz w:val="24"/>
          <w:szCs w:val="24"/>
        </w:rPr>
        <w:t>消除潜在隐患：提前发现并解决设备、结构或方案中可能存在的潜在问题。</w:t>
      </w:r>
    </w:p>
    <w:p w:rsidR="00BA6061" w:rsidRDefault="00610DB9">
      <w:pPr>
        <w:pStyle w:val="ad"/>
        <w:spacing w:line="360" w:lineRule="auto"/>
        <w:ind w:firstLine="480"/>
        <w:jc w:val="left"/>
        <w:rPr>
          <w:rFonts w:ascii="宋体" w:eastAsia="宋体" w:hAnsi="宋体" w:cs="宋体"/>
          <w:i/>
          <w:color w:val="00B050"/>
          <w:sz w:val="24"/>
          <w:szCs w:val="24"/>
        </w:rPr>
      </w:pPr>
      <w:proofErr w:type="gramStart"/>
      <w:r>
        <w:rPr>
          <w:rFonts w:ascii="宋体" w:eastAsia="宋体" w:hAnsi="宋体" w:cs="宋体"/>
          <w:i/>
          <w:color w:val="00B050"/>
          <w:sz w:val="24"/>
          <w:szCs w:val="24"/>
        </w:rPr>
        <w:t>试施工</w:t>
      </w:r>
      <w:proofErr w:type="gramEnd"/>
      <w:r>
        <w:rPr>
          <w:rFonts w:ascii="宋体" w:eastAsia="宋体" w:hAnsi="宋体" w:cs="宋体"/>
          <w:i/>
          <w:color w:val="00B050"/>
          <w:sz w:val="24"/>
          <w:szCs w:val="24"/>
        </w:rPr>
        <w:t>获取的数据是最终调整和确定正式施工控制参数、指导后续大规模施工的核心依据。</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同步施工宜进行全过程施工监控。</w:t>
      </w:r>
    </w:p>
    <w:bookmarkEnd w:id="21"/>
    <w:bookmarkEnd w:id="22"/>
    <w:p w:rsidR="00AF7005" w:rsidRDefault="00610DB9">
      <w:pPr>
        <w:pStyle w:val="ad"/>
        <w:spacing w:line="360" w:lineRule="auto"/>
        <w:ind w:firstLine="480"/>
        <w:jc w:val="left"/>
        <w:rPr>
          <w:rFonts w:ascii="宋体" w:eastAsia="宋体" w:hAnsi="宋体" w:cs="宋体"/>
          <w:i/>
          <w:color w:val="00B050"/>
          <w:sz w:val="24"/>
          <w:szCs w:val="24"/>
        </w:rPr>
        <w:sectPr w:rsidR="00AF7005">
          <w:pgSz w:w="11906" w:h="16838"/>
          <w:pgMar w:top="1440" w:right="1800" w:bottom="1440" w:left="1800" w:header="851" w:footer="992" w:gutter="0"/>
          <w:cols w:space="425"/>
          <w:docGrid w:type="lines" w:linePitch="312"/>
        </w:sectPr>
      </w:pPr>
      <w:r>
        <w:rPr>
          <w:rFonts w:ascii="宋体" w:eastAsia="宋体" w:hAnsi="宋体" w:cs="宋体" w:hint="eastAsia"/>
          <w:i/>
          <w:color w:val="00B050"/>
          <w:sz w:val="24"/>
          <w:szCs w:val="24"/>
        </w:rPr>
        <w:t>条文说明：</w:t>
      </w:r>
      <w:r>
        <w:rPr>
          <w:rFonts w:ascii="宋体" w:eastAsia="宋体" w:hAnsi="宋体" w:cs="宋体"/>
          <w:i/>
          <w:color w:val="00B050"/>
          <w:sz w:val="24"/>
          <w:szCs w:val="24"/>
        </w:rPr>
        <w:t>同步施工是一个动态的、时变的系统工程，结构的受力状态和空间</w:t>
      </w:r>
      <w:r>
        <w:rPr>
          <w:rFonts w:ascii="宋体" w:eastAsia="宋体" w:hAnsi="宋体" w:cs="宋体" w:hint="eastAsia"/>
          <w:i/>
          <w:color w:val="00B050"/>
          <w:sz w:val="24"/>
          <w:szCs w:val="24"/>
        </w:rPr>
        <w:t>形态</w:t>
      </w:r>
      <w:r>
        <w:rPr>
          <w:rFonts w:ascii="宋体" w:eastAsia="宋体" w:hAnsi="宋体" w:cs="宋体"/>
          <w:i/>
          <w:color w:val="00B050"/>
          <w:sz w:val="24"/>
          <w:szCs w:val="24"/>
        </w:rPr>
        <w:t>随施工步骤不断变化，存在诸多不确定性</w:t>
      </w:r>
      <w:r>
        <w:rPr>
          <w:rFonts w:ascii="宋体" w:eastAsia="宋体" w:hAnsi="宋体" w:cs="宋体" w:hint="eastAsia"/>
          <w:i/>
          <w:color w:val="00B050"/>
          <w:sz w:val="24"/>
          <w:szCs w:val="24"/>
        </w:rPr>
        <w:t>，因此需进行</w:t>
      </w:r>
      <w:r>
        <w:rPr>
          <w:rFonts w:ascii="宋体" w:eastAsia="宋体" w:hAnsi="宋体" w:cs="宋体"/>
          <w:i/>
          <w:color w:val="00B050"/>
          <w:sz w:val="24"/>
          <w:szCs w:val="24"/>
        </w:rPr>
        <w:t>全过程施工监控</w:t>
      </w:r>
      <w:r>
        <w:rPr>
          <w:rFonts w:ascii="宋体" w:eastAsia="宋体" w:hAnsi="宋体" w:cs="宋体" w:hint="eastAsia"/>
          <w:i/>
          <w:color w:val="00B050"/>
          <w:sz w:val="24"/>
          <w:szCs w:val="24"/>
        </w:rPr>
        <w:t>，以确保施工过程安全、最终内力状态和线形符合设计要求。</w:t>
      </w:r>
    </w:p>
    <w:p w:rsidR="00BA6061" w:rsidRDefault="00610DB9" w:rsidP="00BF12E9">
      <w:pPr>
        <w:pStyle w:val="1"/>
        <w:keepNext w:val="0"/>
        <w:keepLines w:val="0"/>
        <w:spacing w:before="312" w:after="312"/>
      </w:pPr>
      <w:r>
        <w:rPr>
          <w:rFonts w:hint="eastAsia"/>
        </w:rPr>
        <w:t xml:space="preserve">  </w:t>
      </w:r>
      <w:bookmarkStart w:id="27" w:name="_Toc224026600"/>
      <w:r>
        <w:rPr>
          <w:rFonts w:hint="eastAsia"/>
        </w:rPr>
        <w:t>同步施工荷载与作用</w:t>
      </w:r>
      <w:bookmarkEnd w:id="27"/>
    </w:p>
    <w:p w:rsidR="00BA6061" w:rsidRDefault="00BA6061">
      <w:pPr>
        <w:pStyle w:val="ad"/>
        <w:numPr>
          <w:ilvl w:val="0"/>
          <w:numId w:val="3"/>
        </w:numPr>
        <w:spacing w:line="360" w:lineRule="auto"/>
        <w:ind w:firstLineChars="0"/>
        <w:jc w:val="left"/>
        <w:rPr>
          <w:rFonts w:ascii="宋体" w:eastAsia="宋体" w:hAnsi="宋体" w:cs="宋体"/>
          <w:vanish/>
          <w:sz w:val="24"/>
          <w:szCs w:val="24"/>
        </w:rPr>
      </w:pPr>
    </w:p>
    <w:p w:rsidR="00BA6061" w:rsidRDefault="00BA6061">
      <w:pPr>
        <w:pStyle w:val="ad"/>
        <w:numPr>
          <w:ilvl w:val="1"/>
          <w:numId w:val="3"/>
        </w:numPr>
        <w:spacing w:line="360" w:lineRule="auto"/>
        <w:ind w:firstLineChars="0"/>
        <w:jc w:val="left"/>
        <w:rPr>
          <w:rFonts w:ascii="宋体" w:eastAsia="宋体" w:hAnsi="宋体" w:cs="宋体"/>
          <w:vanish/>
          <w:sz w:val="24"/>
          <w:szCs w:val="24"/>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sz w:val="24"/>
          <w:szCs w:val="24"/>
        </w:rPr>
        <w:t>同步施工结构</w:t>
      </w:r>
      <w:r>
        <w:rPr>
          <w:rFonts w:ascii="宋体" w:eastAsia="宋体" w:hAnsi="宋体" w:cs="宋体" w:hint="eastAsia"/>
          <w:sz w:val="24"/>
          <w:szCs w:val="24"/>
        </w:rPr>
        <w:t>分析计算</w:t>
      </w:r>
      <w:r>
        <w:rPr>
          <w:rFonts w:ascii="宋体" w:eastAsia="宋体" w:hAnsi="宋体" w:cs="宋体"/>
          <w:sz w:val="24"/>
          <w:szCs w:val="24"/>
        </w:rPr>
        <w:t>应</w:t>
      </w:r>
      <w:r>
        <w:rPr>
          <w:rFonts w:ascii="宋体" w:eastAsia="宋体" w:hAnsi="宋体" w:cs="宋体" w:hint="eastAsia"/>
          <w:sz w:val="24"/>
          <w:szCs w:val="24"/>
        </w:rPr>
        <w:t>按现行国家标准《工程结构通用规范》GB 55001</w:t>
      </w:r>
      <w:r>
        <w:rPr>
          <w:rFonts w:ascii="宋体" w:eastAsia="宋体" w:hAnsi="宋体" w:cs="宋体"/>
          <w:sz w:val="24"/>
          <w:szCs w:val="24"/>
        </w:rPr>
        <w:t>采用以概率理论为基础的极限状态设计方法。</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大型结构整体同步提升工程的结构安全等级应为一级，大型结构整体同步顶推和同步滑移工程的结构安全等级不应低于二级。</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条文说明：根据《工程结构通用规范》（GB 55001-2021）规定，结构设计时，根据结构破坏可能产生后果的严重性，采用不同的安全等级。同步提升施工结构的破坏对人的生命、经济、社会或环境影响很大，破坏后果为“很严重”，所以结构的安全等级应为一级。同步顶推施工结构和同步滑移施工结构的破坏影响较大，破坏后果为“很严重”或“严重”，结构安全等级不得低于二级。</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结构荷载可分为下列类型:</w:t>
      </w:r>
    </w:p>
    <w:p w:rsidR="00BA6061" w:rsidRDefault="00610DB9">
      <w:pPr>
        <w:pStyle w:val="ad"/>
        <w:spacing w:line="360" w:lineRule="auto"/>
        <w:ind w:firstLine="482"/>
        <w:jc w:val="left"/>
        <w:rPr>
          <w:rFonts w:ascii="宋体" w:eastAsia="宋体" w:hAnsi="宋体" w:cs="宋体"/>
          <w:sz w:val="24"/>
          <w:szCs w:val="24"/>
        </w:rPr>
      </w:pPr>
      <w:r>
        <w:rPr>
          <w:rFonts w:ascii="宋体" w:eastAsia="宋体" w:hAnsi="宋体" w:cs="宋体" w:hint="eastAsia"/>
          <w:b/>
          <w:sz w:val="24"/>
          <w:szCs w:val="24"/>
        </w:rPr>
        <w:t xml:space="preserve">1 </w:t>
      </w:r>
      <w:r>
        <w:rPr>
          <w:rFonts w:ascii="宋体" w:eastAsia="宋体" w:hAnsi="宋体" w:cs="宋体" w:hint="eastAsia"/>
          <w:sz w:val="24"/>
          <w:szCs w:val="24"/>
        </w:rPr>
        <w:t>永久作用，包括结构自重、土压力、预应力等。</w:t>
      </w:r>
    </w:p>
    <w:p w:rsidR="00BA6061" w:rsidRDefault="00610DB9">
      <w:pPr>
        <w:pStyle w:val="ad"/>
        <w:spacing w:line="360" w:lineRule="auto"/>
        <w:ind w:firstLine="482"/>
        <w:jc w:val="left"/>
        <w:rPr>
          <w:rFonts w:ascii="宋体" w:eastAsia="宋体" w:hAnsi="宋体" w:cs="宋体"/>
          <w:sz w:val="24"/>
          <w:szCs w:val="24"/>
        </w:rPr>
      </w:pPr>
      <w:r>
        <w:rPr>
          <w:rFonts w:ascii="宋体" w:eastAsia="宋体" w:hAnsi="宋体" w:cs="宋体" w:hint="eastAsia"/>
          <w:b/>
          <w:sz w:val="24"/>
          <w:szCs w:val="24"/>
        </w:rPr>
        <w:t xml:space="preserve">2 </w:t>
      </w:r>
      <w:r>
        <w:rPr>
          <w:rFonts w:ascii="宋体" w:eastAsia="宋体" w:hAnsi="宋体" w:cs="宋体" w:hint="eastAsia"/>
          <w:sz w:val="24"/>
          <w:szCs w:val="24"/>
        </w:rPr>
        <w:t>可变作用，除风荷载外，还包括施工可变作用、温度荷载、雪荷载、基础沉降、安装过程中预紧不同步作用、提升不同步作用、提升过程中斜吊附加水平力作用等。</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结构设计时，应按下列规定对不同荷载采用不同的代表值：</w:t>
      </w:r>
    </w:p>
    <w:p w:rsidR="00BA6061" w:rsidRDefault="00610DB9">
      <w:pPr>
        <w:pStyle w:val="ad"/>
        <w:spacing w:line="360" w:lineRule="auto"/>
        <w:ind w:firstLine="482"/>
        <w:jc w:val="left"/>
        <w:rPr>
          <w:rFonts w:ascii="宋体" w:eastAsia="宋体" w:hAnsi="宋体" w:cs="宋体"/>
          <w:sz w:val="24"/>
          <w:szCs w:val="24"/>
        </w:rPr>
      </w:pPr>
      <w:r>
        <w:rPr>
          <w:rFonts w:ascii="宋体" w:eastAsia="宋体" w:hAnsi="宋体" w:cs="宋体" w:hint="eastAsia"/>
          <w:b/>
          <w:sz w:val="24"/>
          <w:szCs w:val="24"/>
        </w:rPr>
        <w:t xml:space="preserve">1 </w:t>
      </w:r>
      <w:r>
        <w:rPr>
          <w:rFonts w:ascii="宋体" w:eastAsia="宋体" w:hAnsi="宋体" w:cs="宋体" w:hint="eastAsia"/>
          <w:sz w:val="24"/>
          <w:szCs w:val="24"/>
        </w:rPr>
        <w:t>对永久作用，采用标准值作为代表值。</w:t>
      </w:r>
    </w:p>
    <w:p w:rsidR="00BA6061" w:rsidRDefault="00610DB9">
      <w:pPr>
        <w:pStyle w:val="ad"/>
        <w:spacing w:line="360" w:lineRule="auto"/>
        <w:ind w:firstLine="482"/>
        <w:jc w:val="left"/>
        <w:rPr>
          <w:rFonts w:ascii="宋体" w:eastAsia="宋体" w:hAnsi="宋体" w:cs="宋体"/>
          <w:sz w:val="24"/>
          <w:szCs w:val="24"/>
        </w:rPr>
      </w:pPr>
      <w:r>
        <w:rPr>
          <w:rFonts w:ascii="宋体" w:eastAsia="宋体" w:hAnsi="宋体" w:cs="宋体" w:hint="eastAsia"/>
          <w:b/>
          <w:sz w:val="24"/>
          <w:szCs w:val="24"/>
        </w:rPr>
        <w:t xml:space="preserve">2 </w:t>
      </w:r>
      <w:r>
        <w:rPr>
          <w:rFonts w:ascii="宋体" w:eastAsia="宋体" w:hAnsi="宋体" w:cs="宋体" w:hint="eastAsia"/>
          <w:sz w:val="24"/>
          <w:szCs w:val="24"/>
        </w:rPr>
        <w:t>对可变荷载应根据设计要求采用标准值、组合值作为代表值。</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结构自重应包括永久结构自重、临时结构自重、设备自重、工机具自重、附属安全设施自重等，荷载标准值应按实际计算。</w:t>
      </w:r>
    </w:p>
    <w:p w:rsidR="00BA6061" w:rsidRPr="00AF7005" w:rsidRDefault="00610DB9">
      <w:pPr>
        <w:pStyle w:val="ad"/>
        <w:numPr>
          <w:ilvl w:val="2"/>
          <w:numId w:val="3"/>
        </w:numPr>
        <w:spacing w:line="360" w:lineRule="auto"/>
        <w:ind w:left="0" w:firstLineChars="0" w:firstLine="0"/>
        <w:jc w:val="left"/>
        <w:rPr>
          <w:rFonts w:ascii="宋体" w:eastAsia="宋体" w:hAnsi="宋体" w:cs="宋体"/>
          <w:sz w:val="24"/>
          <w:szCs w:val="24"/>
        </w:rPr>
      </w:pPr>
      <w:r w:rsidRPr="00AF7005">
        <w:rPr>
          <w:rFonts w:ascii="宋体" w:eastAsia="宋体" w:hAnsi="宋体" w:cs="宋体" w:hint="eastAsia"/>
          <w:sz w:val="24"/>
          <w:szCs w:val="24"/>
        </w:rPr>
        <w:t>同步提升施工过程中，</w:t>
      </w:r>
      <w:bookmarkStart w:id="28" w:name="OLE_LINK19"/>
      <w:r w:rsidRPr="00AF7005">
        <w:rPr>
          <w:rFonts w:ascii="宋体" w:eastAsia="宋体" w:hAnsi="宋体" w:cs="宋体" w:hint="eastAsia"/>
          <w:sz w:val="24"/>
          <w:szCs w:val="24"/>
        </w:rPr>
        <w:t>被提升结构自重应作为可变荷载参与荷载组合</w:t>
      </w:r>
      <w:bookmarkEnd w:id="28"/>
      <w:r w:rsidRPr="00AF7005">
        <w:rPr>
          <w:rFonts w:ascii="宋体" w:eastAsia="宋体" w:hAnsi="宋体" w:cs="宋体" w:hint="eastAsia"/>
          <w:sz w:val="24"/>
          <w:szCs w:val="24"/>
        </w:rPr>
        <w:t>。同步顶推和同步滑移施工过程中，结构自重应作为永久荷载参与荷载组合，结构自重应乘以动力系数，动力系数可取1.05（对结构不利时）或0.95（对结构有利时）。</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施工可变作用应包括施工作业人员、临时放置材料、防护系统和小型工具等。其作用标准值可按实际情况计算，但取值不应小于2.5kN/m²。</w:t>
      </w:r>
    </w:p>
    <w:p w:rsidR="00BA6061" w:rsidRPr="00AF7005" w:rsidRDefault="00610DB9">
      <w:pPr>
        <w:pStyle w:val="ad"/>
        <w:numPr>
          <w:ilvl w:val="2"/>
          <w:numId w:val="3"/>
        </w:numPr>
        <w:spacing w:line="360" w:lineRule="auto"/>
        <w:ind w:left="0" w:firstLineChars="0" w:firstLine="0"/>
        <w:jc w:val="left"/>
        <w:rPr>
          <w:rFonts w:ascii="宋体" w:eastAsia="宋体" w:hAnsi="宋体" w:cs="宋体"/>
          <w:sz w:val="24"/>
          <w:szCs w:val="24"/>
        </w:rPr>
      </w:pPr>
      <w:r w:rsidRPr="00AF7005">
        <w:rPr>
          <w:rFonts w:ascii="宋体" w:eastAsia="宋体" w:hAnsi="宋体" w:cs="宋体" w:hint="eastAsia"/>
          <w:sz w:val="24"/>
          <w:szCs w:val="24"/>
        </w:rPr>
        <w:t>风荷载计算应根据结构类型，按现行国家标准《工程结构通用规范》GB 55001和相关国家及行业标准的规定执行。</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条文说明：同步施工是一个支承状态不断发生变化的过程，不同支承状态下主体结构的受力状态大不相同。没有必要要求每一个状态都能承受极端风荷载作用。</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对于同步提升施工，根据现行国家标准《重型结构和设备整体提升技术规范》GB 51162，风荷载应</w:t>
      </w:r>
      <w:proofErr w:type="gramStart"/>
      <w:r>
        <w:rPr>
          <w:rFonts w:ascii="宋体" w:eastAsia="宋体" w:hAnsi="宋体" w:cs="宋体" w:hint="eastAsia"/>
          <w:i/>
          <w:color w:val="00B050"/>
          <w:sz w:val="24"/>
          <w:szCs w:val="24"/>
        </w:rPr>
        <w:t>按根据</w:t>
      </w:r>
      <w:proofErr w:type="gramEnd"/>
      <w:r>
        <w:rPr>
          <w:rFonts w:ascii="宋体" w:eastAsia="宋体" w:hAnsi="宋体" w:cs="宋体" w:hint="eastAsia"/>
          <w:i/>
          <w:color w:val="00B050"/>
          <w:sz w:val="24"/>
          <w:szCs w:val="24"/>
        </w:rPr>
        <w:t>支承结构安装、提升施工、应急加固和拆除四个阶段实际情况分别确定，根据不同工况，采用6级风载、8级风载、10年一遇风荷载或紧急情况修正风荷载。</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对于同步提升施工和同步滑移施工，行进作业应在气象条件较好的环境中开展，根据工程实践经验，顶推行进作业时的风力等级不宜超过6级风（6级风对应的风速范围为10.8m/s～13.8m/s）。同时，在顶推行进作业中应密切关注气象变化，如果可能遭遇超出该验算风速的极端天气，可将顶推体提前停顿在受力状态较好的位置，并做好相应的抗风措施。在保证顶推行进作业时风力等级不超过6级风的情况下，顶推行进中的基本风速可偏安全地取15m/s。对于非行进过程中的结构验算，设计风速可按</w:t>
      </w:r>
      <w:proofErr w:type="gramStart"/>
      <w:r>
        <w:rPr>
          <w:rFonts w:ascii="宋体" w:eastAsia="宋体" w:hAnsi="宋体" w:cs="宋体" w:hint="eastAsia"/>
          <w:i/>
          <w:color w:val="00B050"/>
          <w:sz w:val="24"/>
          <w:szCs w:val="24"/>
        </w:rPr>
        <w:t>现行行业</w:t>
      </w:r>
      <w:proofErr w:type="gramEnd"/>
      <w:r>
        <w:rPr>
          <w:rFonts w:ascii="宋体" w:eastAsia="宋体" w:hAnsi="宋体" w:cs="宋体" w:hint="eastAsia"/>
          <w:i/>
          <w:color w:val="00B050"/>
          <w:sz w:val="24"/>
          <w:szCs w:val="24"/>
        </w:rPr>
        <w:t>标准《公路桥梁抗风设计规范》JTG/T 3360-01-2018第4.2.9条确定，顶推施工桥梁的施工年限一般不超过3年。</w:t>
      </w:r>
    </w:p>
    <w:p w:rsidR="00BA6061" w:rsidRPr="00AF7005" w:rsidRDefault="00610DB9">
      <w:pPr>
        <w:pStyle w:val="ad"/>
        <w:numPr>
          <w:ilvl w:val="2"/>
          <w:numId w:val="3"/>
        </w:numPr>
        <w:spacing w:line="360" w:lineRule="auto"/>
        <w:ind w:left="0" w:firstLineChars="0" w:firstLine="0"/>
        <w:jc w:val="left"/>
        <w:rPr>
          <w:rFonts w:ascii="宋体" w:eastAsia="宋体" w:hAnsi="宋体" w:cs="宋体"/>
          <w:sz w:val="24"/>
          <w:szCs w:val="24"/>
        </w:rPr>
      </w:pPr>
      <w:r w:rsidRPr="00AF7005">
        <w:rPr>
          <w:rFonts w:ascii="宋体" w:eastAsia="宋体" w:hAnsi="宋体" w:cs="宋体" w:hint="eastAsia"/>
          <w:sz w:val="24"/>
          <w:szCs w:val="24"/>
        </w:rPr>
        <w:t>作用及作用效应组合应按照现行国家标准《工程结构通用规范》GB 55001和相关国家及行业标准的规定执行，并根据可能同时出现的作用进行最不利作用效应组合。</w:t>
      </w:r>
    </w:p>
    <w:p w:rsidR="00BA6061" w:rsidRPr="00AF7005" w:rsidRDefault="00610DB9">
      <w:pPr>
        <w:pStyle w:val="ad"/>
        <w:numPr>
          <w:ilvl w:val="2"/>
          <w:numId w:val="3"/>
        </w:numPr>
        <w:spacing w:line="360" w:lineRule="auto"/>
        <w:ind w:left="0" w:firstLineChars="0" w:firstLine="0"/>
        <w:jc w:val="left"/>
        <w:rPr>
          <w:rFonts w:ascii="宋体" w:eastAsia="宋体" w:hAnsi="宋体" w:cs="宋体"/>
          <w:sz w:val="24"/>
          <w:szCs w:val="24"/>
        </w:rPr>
      </w:pPr>
      <w:r w:rsidRPr="00AF7005">
        <w:rPr>
          <w:rFonts w:ascii="宋体" w:eastAsia="宋体" w:hAnsi="宋体" w:cs="宋体" w:hint="eastAsia"/>
          <w:sz w:val="24"/>
          <w:szCs w:val="24"/>
        </w:rPr>
        <w:t>同步提升施工过程中应计入提升钢绞线和</w:t>
      </w:r>
      <w:proofErr w:type="gramStart"/>
      <w:r w:rsidRPr="00AF7005">
        <w:rPr>
          <w:rFonts w:ascii="宋体" w:eastAsia="宋体" w:hAnsi="宋体" w:cs="宋体" w:hint="eastAsia"/>
          <w:sz w:val="24"/>
          <w:szCs w:val="24"/>
        </w:rPr>
        <w:t>缆风绳</w:t>
      </w:r>
      <w:proofErr w:type="gramEnd"/>
      <w:r w:rsidRPr="00AF7005">
        <w:rPr>
          <w:rFonts w:ascii="宋体" w:eastAsia="宋体" w:hAnsi="宋体" w:cs="宋体" w:hint="eastAsia"/>
          <w:sz w:val="24"/>
          <w:szCs w:val="24"/>
        </w:rPr>
        <w:t>钢绞线的预紧不同步作用，不同步作用的取值按现行国家标准《重型结构和设备整体提升技术规范》GB 51162执行。</w:t>
      </w:r>
    </w:p>
    <w:p w:rsidR="00BA6061" w:rsidRPr="00AF7005" w:rsidRDefault="00610DB9">
      <w:pPr>
        <w:pStyle w:val="ad"/>
        <w:numPr>
          <w:ilvl w:val="2"/>
          <w:numId w:val="3"/>
        </w:numPr>
        <w:spacing w:line="360" w:lineRule="auto"/>
        <w:ind w:left="0" w:firstLineChars="0" w:firstLine="0"/>
        <w:jc w:val="left"/>
        <w:rPr>
          <w:rFonts w:ascii="宋体" w:eastAsia="宋体" w:hAnsi="宋体" w:cs="宋体"/>
          <w:sz w:val="24"/>
          <w:szCs w:val="24"/>
        </w:rPr>
      </w:pPr>
      <w:r w:rsidRPr="00AF7005">
        <w:rPr>
          <w:rFonts w:ascii="宋体" w:eastAsia="宋体" w:hAnsi="宋体" w:cs="宋体" w:hint="eastAsia"/>
          <w:sz w:val="24"/>
          <w:szCs w:val="24"/>
        </w:rPr>
        <w:t>同步提升施工过程中应计入斜吊附加水平力作用，作用取值按下式计算:</w:t>
      </w:r>
    </w:p>
    <w:p w:rsidR="00BA6061" w:rsidRDefault="00610DB9">
      <w:pPr>
        <w:pStyle w:val="ad"/>
        <w:spacing w:line="360" w:lineRule="auto"/>
        <w:ind w:firstLine="480"/>
        <w:jc w:val="left"/>
        <w:rPr>
          <w:rFonts w:ascii="宋体" w:eastAsia="宋体" w:hAnsi="宋体" w:cs="宋体"/>
          <w:sz w:val="24"/>
          <w:szCs w:val="24"/>
        </w:rPr>
      </w:pPr>
      <m:oMathPara>
        <m:oMath>
          <m:r>
            <m:rPr>
              <m:sty m:val="p"/>
            </m:rPr>
            <w:rPr>
              <w:rFonts w:ascii="Cambria Math" w:eastAsia="宋体" w:hAnsi="Cambria Math" w:cs="宋体"/>
              <w:sz w:val="24"/>
              <w:szCs w:val="24"/>
            </w:rPr>
            <m:t>H=</m:t>
          </m:r>
          <m:f>
            <m:fPr>
              <m:ctrlPr>
                <w:rPr>
                  <w:rFonts w:ascii="Cambria Math" w:eastAsia="宋体" w:hAnsi="Cambria Math" w:cs="宋体"/>
                  <w:sz w:val="24"/>
                  <w:szCs w:val="24"/>
                </w:rPr>
              </m:ctrlPr>
            </m:fPr>
            <m:num>
              <m:r>
                <m:rPr>
                  <m:sty m:val="p"/>
                </m:rPr>
                <w:rPr>
                  <w:rFonts w:ascii="Cambria Math" w:eastAsia="宋体" w:hAnsi="Cambria Math" w:cs="宋体"/>
                  <w:sz w:val="24"/>
                  <w:szCs w:val="24"/>
                </w:rPr>
                <m:t>50</m:t>
              </m:r>
            </m:num>
            <m:den>
              <m:r>
                <m:rPr>
                  <m:sty m:val="p"/>
                </m:rPr>
                <w:rPr>
                  <w:rFonts w:ascii="Cambria Math" w:eastAsia="宋体" w:hAnsi="Cambria Math" w:cs="宋体"/>
                  <w:sz w:val="24"/>
                  <w:szCs w:val="24"/>
                </w:rPr>
                <m:t>L</m:t>
              </m:r>
            </m:den>
          </m:f>
          <m:r>
            <m:rPr>
              <m:sty m:val="p"/>
            </m:rPr>
            <w:rPr>
              <w:rFonts w:ascii="Cambria Math" w:eastAsia="宋体" w:hAnsi="Cambria Math" w:cs="Cambria Math"/>
              <w:sz w:val="24"/>
              <w:szCs w:val="24"/>
            </w:rPr>
            <m:t>∙</m:t>
          </m:r>
          <m:r>
            <m:rPr>
              <m:sty m:val="p"/>
            </m:rPr>
            <w:rPr>
              <w:rFonts w:ascii="Cambria Math" w:eastAsia="宋体" w:hAnsi="Cambria Math" w:cs="宋体"/>
              <w:sz w:val="24"/>
              <w:szCs w:val="24"/>
            </w:rPr>
            <m:t>F</m:t>
          </m:r>
        </m:oMath>
      </m:oMathPara>
    </w:p>
    <w:p w:rsidR="00BA6061" w:rsidRDefault="00610DB9">
      <w:pPr>
        <w:pStyle w:val="ad"/>
        <w:spacing w:line="360" w:lineRule="auto"/>
        <w:ind w:firstLine="480"/>
        <w:jc w:val="left"/>
        <w:rPr>
          <w:rFonts w:ascii="宋体" w:eastAsia="宋体" w:hAnsi="宋体" w:cs="宋体"/>
          <w:sz w:val="24"/>
          <w:szCs w:val="24"/>
        </w:rPr>
      </w:pPr>
      <w:r>
        <w:rPr>
          <w:rFonts w:ascii="宋体" w:eastAsia="宋体" w:hAnsi="宋体" w:cs="宋体"/>
          <w:sz w:val="24"/>
          <w:szCs w:val="24"/>
        </w:rPr>
        <w:t>式中：</w:t>
      </w:r>
    </w:p>
    <w:p w:rsidR="00BA6061" w:rsidRDefault="00610DB9">
      <w:pPr>
        <w:pStyle w:val="ad"/>
        <w:spacing w:line="360" w:lineRule="auto"/>
        <w:ind w:firstLine="480"/>
        <w:jc w:val="left"/>
        <w:rPr>
          <w:rFonts w:ascii="宋体" w:eastAsia="宋体" w:hAnsi="宋体" w:cs="宋体"/>
          <w:sz w:val="24"/>
          <w:szCs w:val="24"/>
        </w:rPr>
      </w:pPr>
      <w:r>
        <w:rPr>
          <w:rFonts w:ascii="宋体" w:eastAsia="宋体" w:hAnsi="宋体" w:cs="宋体" w:hint="eastAsia"/>
          <w:sz w:val="24"/>
          <w:szCs w:val="24"/>
        </w:rPr>
        <w:t>H</w:t>
      </w:r>
      <w:r>
        <w:rPr>
          <w:rFonts w:ascii="宋体" w:eastAsia="宋体" w:hAnsi="宋体" w:cs="宋体"/>
          <w:sz w:val="24"/>
          <w:szCs w:val="24"/>
        </w:rPr>
        <w:t>——</w:t>
      </w:r>
      <w:r>
        <w:rPr>
          <w:rFonts w:ascii="宋体" w:eastAsia="宋体" w:hAnsi="宋体" w:cs="宋体" w:hint="eastAsia"/>
          <w:sz w:val="24"/>
          <w:szCs w:val="24"/>
        </w:rPr>
        <w:t>斜吊附加水平力</w:t>
      </w:r>
      <w:r>
        <w:rPr>
          <w:rFonts w:ascii="宋体" w:eastAsia="宋体" w:hAnsi="宋体" w:cs="宋体"/>
          <w:sz w:val="24"/>
          <w:szCs w:val="24"/>
        </w:rPr>
        <w:t>(</w:t>
      </w:r>
      <w:proofErr w:type="spellStart"/>
      <w:r>
        <w:rPr>
          <w:rFonts w:ascii="宋体" w:eastAsia="宋体" w:hAnsi="宋体" w:cs="宋体"/>
          <w:sz w:val="24"/>
          <w:szCs w:val="24"/>
        </w:rPr>
        <w:t>kN</w:t>
      </w:r>
      <w:proofErr w:type="spellEnd"/>
      <w:r>
        <w:rPr>
          <w:rFonts w:ascii="宋体" w:eastAsia="宋体" w:hAnsi="宋体" w:cs="宋体"/>
          <w:sz w:val="24"/>
          <w:szCs w:val="24"/>
        </w:rPr>
        <w:t>)</w:t>
      </w:r>
    </w:p>
    <w:p w:rsidR="00BA6061" w:rsidRDefault="00610DB9">
      <w:pPr>
        <w:pStyle w:val="ad"/>
        <w:spacing w:line="360" w:lineRule="auto"/>
        <w:ind w:firstLine="480"/>
        <w:jc w:val="left"/>
        <w:rPr>
          <w:rFonts w:ascii="宋体" w:eastAsia="宋体" w:hAnsi="宋体" w:cs="宋体"/>
          <w:sz w:val="24"/>
          <w:szCs w:val="24"/>
        </w:rPr>
      </w:pPr>
      <m:oMath>
        <m:r>
          <m:rPr>
            <m:sty m:val="p"/>
          </m:rPr>
          <w:rPr>
            <w:rFonts w:ascii="Cambria Math" w:eastAsia="宋体" w:hAnsi="Cambria Math" w:cs="宋体"/>
            <w:sz w:val="24"/>
            <w:szCs w:val="24"/>
          </w:rPr>
          <m:t>F</m:t>
        </m:r>
      </m:oMath>
      <w:r>
        <w:rPr>
          <w:rFonts w:ascii="宋体" w:eastAsia="宋体" w:hAnsi="宋体" w:cs="宋体"/>
          <w:sz w:val="24"/>
          <w:szCs w:val="24"/>
        </w:rPr>
        <w:t>——最不利工况下提升</w:t>
      </w:r>
      <w:proofErr w:type="gramStart"/>
      <w:r>
        <w:rPr>
          <w:rFonts w:ascii="宋体" w:eastAsia="宋体" w:hAnsi="宋体" w:cs="宋体"/>
          <w:sz w:val="24"/>
          <w:szCs w:val="24"/>
        </w:rPr>
        <w:t>索索力</w:t>
      </w:r>
      <w:proofErr w:type="gramEnd"/>
      <w:r>
        <w:rPr>
          <w:rFonts w:ascii="宋体" w:eastAsia="宋体" w:hAnsi="宋体" w:cs="宋体"/>
          <w:sz w:val="24"/>
          <w:szCs w:val="24"/>
        </w:rPr>
        <w:t>(</w:t>
      </w:r>
      <w:proofErr w:type="spellStart"/>
      <w:r>
        <w:rPr>
          <w:rFonts w:ascii="宋体" w:eastAsia="宋体" w:hAnsi="宋体" w:cs="宋体"/>
          <w:sz w:val="24"/>
          <w:szCs w:val="24"/>
        </w:rPr>
        <w:t>kN</w:t>
      </w:r>
      <w:proofErr w:type="spellEnd"/>
      <w:r>
        <w:rPr>
          <w:rFonts w:ascii="宋体" w:eastAsia="宋体" w:hAnsi="宋体" w:cs="宋体"/>
          <w:sz w:val="24"/>
          <w:szCs w:val="24"/>
        </w:rPr>
        <w:t>)</w:t>
      </w:r>
      <w:r>
        <w:rPr>
          <w:rFonts w:ascii="宋体" w:eastAsia="宋体" w:hAnsi="宋体" w:cs="宋体" w:hint="eastAsia"/>
          <w:sz w:val="24"/>
          <w:szCs w:val="24"/>
        </w:rPr>
        <w:t>；</w:t>
      </w:r>
      <w:r>
        <w:rPr>
          <w:rFonts w:ascii="宋体" w:eastAsia="宋体" w:hAnsi="宋体" w:cs="宋体"/>
          <w:sz w:val="24"/>
          <w:szCs w:val="24"/>
        </w:rPr>
        <w:t xml:space="preserve">    </w:t>
      </w:r>
    </w:p>
    <w:p w:rsidR="00BA6061" w:rsidRDefault="00610DB9">
      <w:pPr>
        <w:pStyle w:val="ad"/>
        <w:spacing w:line="360" w:lineRule="auto"/>
        <w:ind w:firstLine="480"/>
        <w:jc w:val="left"/>
        <w:rPr>
          <w:rFonts w:ascii="宋体" w:eastAsia="宋体" w:hAnsi="宋体" w:cs="宋体"/>
          <w:sz w:val="24"/>
          <w:szCs w:val="24"/>
        </w:rPr>
      </w:pPr>
      <m:oMath>
        <m:r>
          <m:rPr>
            <m:sty m:val="p"/>
          </m:rPr>
          <w:rPr>
            <w:rFonts w:ascii="Cambria Math" w:eastAsia="宋体" w:hAnsi="Cambria Math" w:cs="宋体"/>
            <w:sz w:val="24"/>
            <w:szCs w:val="24"/>
          </w:rPr>
          <m:t>L</m:t>
        </m:r>
      </m:oMath>
      <w:r>
        <w:rPr>
          <w:rFonts w:ascii="宋体" w:eastAsia="宋体" w:hAnsi="宋体" w:cs="宋体"/>
          <w:sz w:val="24"/>
          <w:szCs w:val="24"/>
        </w:rPr>
        <w:t>——最短</w:t>
      </w:r>
      <w:proofErr w:type="gramStart"/>
      <w:r>
        <w:rPr>
          <w:rFonts w:ascii="宋体" w:eastAsia="宋体" w:hAnsi="宋体" w:cs="宋体"/>
          <w:sz w:val="24"/>
          <w:szCs w:val="24"/>
        </w:rPr>
        <w:t>提升索长</w:t>
      </w:r>
      <w:proofErr w:type="gramEnd"/>
      <w:r>
        <w:rPr>
          <w:rFonts w:ascii="宋体" w:eastAsia="宋体" w:hAnsi="宋体" w:cs="宋体"/>
          <w:sz w:val="24"/>
          <w:szCs w:val="24"/>
        </w:rPr>
        <w:t>(mm),不小于1500</w:t>
      </w:r>
      <w:r>
        <w:rPr>
          <w:rFonts w:ascii="宋体" w:eastAsia="宋体" w:hAnsi="宋体" w:cs="宋体" w:hint="eastAsia"/>
          <w:sz w:val="24"/>
          <w:szCs w:val="24"/>
        </w:rPr>
        <w:t>mm。</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bookmarkStart w:id="29" w:name="_Toc208217192"/>
      <w:r>
        <w:rPr>
          <w:rFonts w:ascii="宋体" w:eastAsia="宋体" w:hAnsi="宋体" w:cs="宋体" w:hint="eastAsia"/>
          <w:sz w:val="24"/>
          <w:szCs w:val="24"/>
        </w:rPr>
        <w:t>提升不同步作用</w:t>
      </w:r>
      <w:bookmarkEnd w:id="29"/>
      <w:r>
        <w:rPr>
          <w:rFonts w:ascii="宋体" w:eastAsia="宋体" w:hAnsi="宋体" w:cs="宋体" w:hint="eastAsia"/>
          <w:sz w:val="24"/>
          <w:szCs w:val="24"/>
        </w:rPr>
        <w:t>应符合下列规定：</w:t>
      </w:r>
    </w:p>
    <w:p w:rsidR="00BA6061" w:rsidRDefault="00610DB9">
      <w:pPr>
        <w:pStyle w:val="ad"/>
        <w:spacing w:line="360" w:lineRule="auto"/>
        <w:ind w:firstLine="482"/>
        <w:jc w:val="left"/>
        <w:rPr>
          <w:rFonts w:ascii="宋体" w:eastAsia="宋体" w:hAnsi="宋体" w:cs="宋体"/>
          <w:sz w:val="24"/>
          <w:szCs w:val="24"/>
        </w:rPr>
      </w:pPr>
      <w:r>
        <w:rPr>
          <w:rFonts w:ascii="宋体" w:eastAsia="宋体" w:hAnsi="宋体" w:cs="宋体" w:hint="eastAsia"/>
          <w:b/>
          <w:sz w:val="24"/>
          <w:szCs w:val="24"/>
        </w:rPr>
        <w:t>1</w:t>
      </w:r>
      <w:r>
        <w:rPr>
          <w:rFonts w:ascii="宋体" w:eastAsia="宋体" w:hAnsi="宋体" w:cs="宋体" w:hint="eastAsia"/>
          <w:sz w:val="24"/>
          <w:szCs w:val="24"/>
        </w:rPr>
        <w:t xml:space="preserve"> 位移不同步提升工况分析时，相邻吊点的位移不同步值取L</w:t>
      </w:r>
      <w:r>
        <w:rPr>
          <w:rFonts w:ascii="宋体" w:eastAsia="宋体" w:hAnsi="宋体" w:cs="宋体" w:hint="eastAsia"/>
          <w:sz w:val="24"/>
          <w:szCs w:val="24"/>
          <w:vertAlign w:val="subscript"/>
        </w:rPr>
        <w:t>0</w:t>
      </w:r>
      <w:r>
        <w:rPr>
          <w:rFonts w:ascii="宋体" w:eastAsia="宋体" w:hAnsi="宋体" w:cs="宋体" w:hint="eastAsia"/>
          <w:sz w:val="24"/>
          <w:szCs w:val="24"/>
        </w:rPr>
        <w:t>/250（L</w:t>
      </w:r>
      <w:r>
        <w:rPr>
          <w:rFonts w:ascii="宋体" w:eastAsia="宋体" w:hAnsi="宋体" w:cs="宋体" w:hint="eastAsia"/>
          <w:sz w:val="24"/>
          <w:szCs w:val="24"/>
          <w:vertAlign w:val="subscript"/>
        </w:rPr>
        <w:t>0</w:t>
      </w:r>
      <w:r>
        <w:rPr>
          <w:rFonts w:ascii="宋体" w:eastAsia="宋体" w:hAnsi="宋体" w:cs="宋体" w:hint="eastAsia"/>
          <w:sz w:val="24"/>
          <w:szCs w:val="24"/>
        </w:rPr>
        <w:t xml:space="preserve">为被提升结构吊点距离），且不小于±25mm； </w:t>
      </w:r>
    </w:p>
    <w:p w:rsidR="00BA6061" w:rsidRDefault="00610DB9">
      <w:pPr>
        <w:pStyle w:val="ad"/>
        <w:spacing w:line="360" w:lineRule="auto"/>
        <w:ind w:firstLine="482"/>
        <w:jc w:val="left"/>
        <w:rPr>
          <w:rFonts w:ascii="宋体" w:eastAsia="宋体" w:hAnsi="宋体" w:cs="宋体"/>
          <w:sz w:val="24"/>
          <w:szCs w:val="24"/>
        </w:rPr>
      </w:pPr>
      <w:r>
        <w:rPr>
          <w:rFonts w:ascii="宋体" w:eastAsia="宋体" w:hAnsi="宋体" w:cs="宋体" w:hint="eastAsia"/>
          <w:b/>
          <w:sz w:val="24"/>
          <w:szCs w:val="24"/>
        </w:rPr>
        <w:t xml:space="preserve">2 </w:t>
      </w:r>
      <w:r>
        <w:rPr>
          <w:rFonts w:ascii="宋体" w:eastAsia="宋体" w:hAnsi="宋体" w:cs="宋体" w:hint="eastAsia"/>
          <w:sz w:val="24"/>
          <w:szCs w:val="24"/>
        </w:rPr>
        <w:t>荷载不同步提升工况分析时，提升索的索力变化值不小于±10%；</w:t>
      </w:r>
    </w:p>
    <w:p w:rsidR="00BA6061" w:rsidRDefault="00BA6061">
      <w:pPr>
        <w:ind w:firstLineChars="200" w:firstLine="480"/>
        <w:rPr>
          <w:rFonts w:ascii="宋体" w:eastAsia="宋体" w:hAnsi="宋体" w:cs="宋体"/>
          <w:sz w:val="24"/>
          <w:szCs w:val="24"/>
        </w:rPr>
        <w:sectPr w:rsidR="00BA6061">
          <w:pgSz w:w="11906" w:h="16838"/>
          <w:pgMar w:top="1440" w:right="1800" w:bottom="1440" w:left="1800" w:header="851" w:footer="992" w:gutter="0"/>
          <w:cols w:space="425"/>
          <w:docGrid w:type="lines" w:linePitch="312"/>
        </w:sectPr>
      </w:pPr>
    </w:p>
    <w:p w:rsidR="00BA6061" w:rsidRDefault="00610DB9" w:rsidP="00BF12E9">
      <w:pPr>
        <w:pStyle w:val="1"/>
        <w:keepNext w:val="0"/>
        <w:keepLines w:val="0"/>
        <w:spacing w:before="312" w:after="312"/>
      </w:pPr>
      <w:r>
        <w:rPr>
          <w:rFonts w:hint="eastAsia"/>
        </w:rPr>
        <w:t xml:space="preserve">  </w:t>
      </w:r>
      <w:bookmarkStart w:id="30" w:name="_Toc224026601"/>
      <w:r>
        <w:rPr>
          <w:rFonts w:hint="eastAsia"/>
        </w:rPr>
        <w:t>同步施工总体设计</w:t>
      </w:r>
      <w:bookmarkEnd w:id="30"/>
    </w:p>
    <w:p w:rsidR="00BA6061" w:rsidRDefault="00610DB9">
      <w:pPr>
        <w:pStyle w:val="2"/>
        <w:keepNext w:val="0"/>
        <w:keepLines w:val="0"/>
        <w:numPr>
          <w:ilvl w:val="1"/>
          <w:numId w:val="1"/>
        </w:numPr>
        <w:spacing w:before="312" w:after="312" w:line="360" w:lineRule="auto"/>
        <w:ind w:left="0" w:firstLine="560"/>
        <w:jc w:val="center"/>
        <w:rPr>
          <w:rFonts w:ascii="黑体" w:hAnsi="黑体" w:cs="黑体"/>
          <w:b w:val="0"/>
          <w:sz w:val="28"/>
          <w:szCs w:val="28"/>
        </w:rPr>
      </w:pPr>
      <w:bookmarkStart w:id="31" w:name="_Toc223533686"/>
      <w:bookmarkStart w:id="32" w:name="_Toc224026602"/>
      <w:r>
        <w:rPr>
          <w:rFonts w:ascii="黑体" w:hAnsi="黑体" w:cs="黑体"/>
          <w:b w:val="0"/>
          <w:sz w:val="28"/>
          <w:szCs w:val="28"/>
        </w:rPr>
        <w:t>一般规定</w:t>
      </w:r>
      <w:bookmarkEnd w:id="31"/>
      <w:bookmarkEnd w:id="32"/>
    </w:p>
    <w:p w:rsidR="00BA6061" w:rsidRDefault="00BA6061">
      <w:pPr>
        <w:pStyle w:val="ad"/>
        <w:numPr>
          <w:ilvl w:val="0"/>
          <w:numId w:val="3"/>
        </w:numPr>
        <w:spacing w:line="360" w:lineRule="auto"/>
        <w:ind w:firstLineChars="0"/>
        <w:jc w:val="left"/>
        <w:rPr>
          <w:rFonts w:ascii="宋体" w:eastAsia="宋体" w:hAnsi="宋体" w:cs="宋体"/>
          <w:vanish/>
          <w:sz w:val="24"/>
          <w:szCs w:val="24"/>
        </w:rPr>
      </w:pPr>
      <w:bookmarkStart w:id="33" w:name="OLE_LINK10"/>
      <w:bookmarkStart w:id="34" w:name="OLE_LINK9"/>
    </w:p>
    <w:p w:rsidR="00BA6061" w:rsidRDefault="00BA6061">
      <w:pPr>
        <w:pStyle w:val="ad"/>
        <w:numPr>
          <w:ilvl w:val="1"/>
          <w:numId w:val="3"/>
        </w:numPr>
        <w:spacing w:line="360" w:lineRule="auto"/>
        <w:ind w:firstLineChars="0"/>
        <w:jc w:val="left"/>
        <w:rPr>
          <w:rFonts w:ascii="宋体" w:eastAsia="宋体" w:hAnsi="宋体" w:cs="宋体"/>
          <w:vanish/>
          <w:sz w:val="24"/>
          <w:szCs w:val="24"/>
        </w:rPr>
      </w:pPr>
    </w:p>
    <w:p w:rsidR="00BA6061" w:rsidRDefault="00BA6061">
      <w:pPr>
        <w:pStyle w:val="ad"/>
        <w:numPr>
          <w:ilvl w:val="1"/>
          <w:numId w:val="3"/>
        </w:numPr>
        <w:spacing w:line="360" w:lineRule="auto"/>
        <w:ind w:firstLineChars="0"/>
        <w:jc w:val="left"/>
        <w:rPr>
          <w:rFonts w:ascii="宋体" w:eastAsia="宋体" w:hAnsi="宋体" w:cs="宋体"/>
          <w:vanish/>
          <w:sz w:val="24"/>
          <w:szCs w:val="24"/>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sz w:val="24"/>
          <w:szCs w:val="24"/>
        </w:rPr>
        <w:t>同步施工结构设计应包括永久结构设计与临时结构设计，</w:t>
      </w:r>
      <w:r>
        <w:rPr>
          <w:rFonts w:ascii="宋体" w:eastAsia="宋体" w:hAnsi="宋体" w:cs="宋体" w:hint="eastAsia"/>
          <w:sz w:val="24"/>
          <w:szCs w:val="24"/>
        </w:rPr>
        <w:t>整体结构及局部构件</w:t>
      </w:r>
      <w:r>
        <w:rPr>
          <w:rFonts w:ascii="宋体" w:eastAsia="宋体" w:hAnsi="宋体" w:cs="宋体"/>
          <w:sz w:val="24"/>
          <w:szCs w:val="24"/>
        </w:rPr>
        <w:t>应满足施工全过程各工况下的强度、刚度和稳定性要求。</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同步施工（包括顶推、提升、滑移）是一个动态的、时变的过程，结构的受力体系、边界条件和荷载状态随施工步骤不断变化，与最终的使用状态存在显著差异。因此，其结构设计必须涵盖永久结构与临时结构两大系统，并将其视为一个有机的整体进行分析。设计时，不仅需验算永久结构在施工过程中的安全性，确保其强度、刚度与稳定性满足要求；同时，也必须对临时结构（如提升支架、顶推临时墩、滑移轨道、吊点、反力架等）在各种最不利工况下进行设计与验算，确保整个施工体系的安全可靠。</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永久结构和临时结构</w:t>
      </w:r>
      <w:r>
        <w:rPr>
          <w:rFonts w:ascii="宋体" w:eastAsia="宋体" w:hAnsi="宋体" w:cs="宋体"/>
          <w:sz w:val="24"/>
          <w:szCs w:val="24"/>
        </w:rPr>
        <w:t>应</w:t>
      </w:r>
      <w:r>
        <w:rPr>
          <w:rFonts w:ascii="宋体" w:eastAsia="宋体" w:hAnsi="宋体" w:cs="宋体" w:hint="eastAsia"/>
          <w:sz w:val="24"/>
          <w:szCs w:val="24"/>
        </w:rPr>
        <w:t>根据</w:t>
      </w:r>
      <w:r>
        <w:rPr>
          <w:rFonts w:ascii="宋体" w:eastAsia="宋体" w:hAnsi="宋体" w:cs="宋体"/>
          <w:sz w:val="24"/>
          <w:szCs w:val="24"/>
        </w:rPr>
        <w:t>同步施工工艺</w:t>
      </w:r>
      <w:r>
        <w:rPr>
          <w:rFonts w:ascii="宋体" w:eastAsia="宋体" w:hAnsi="宋体" w:cs="宋体" w:hint="eastAsia"/>
          <w:sz w:val="24"/>
          <w:szCs w:val="24"/>
        </w:rPr>
        <w:t>的</w:t>
      </w:r>
      <w:r>
        <w:rPr>
          <w:rFonts w:ascii="宋体" w:eastAsia="宋体" w:hAnsi="宋体" w:cs="宋体"/>
          <w:sz w:val="24"/>
          <w:szCs w:val="24"/>
        </w:rPr>
        <w:t>特点，进行结构适应性设计，确保施工安全、经济合理、便于实施。</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条文说明：条文强调“结构适应性设计”的理念。永久结构的设计需预先考虑同步施工工艺的需求，进行适应性设计，方可确保在施工安全可靠基础上，提高工程经济效益，实现绿色可持续发展。</w:t>
      </w:r>
      <w:bookmarkStart w:id="35" w:name="OLE_LINK11"/>
      <w:bookmarkStart w:id="36" w:name="OLE_LINK12"/>
      <w:r>
        <w:rPr>
          <w:rFonts w:ascii="宋体" w:eastAsia="宋体" w:hAnsi="宋体" w:cs="宋体" w:hint="eastAsia"/>
          <w:i/>
          <w:color w:val="00B050"/>
          <w:sz w:val="24"/>
          <w:szCs w:val="24"/>
        </w:rPr>
        <w:t>例如在同步提升工法中，为确保大</w:t>
      </w:r>
      <w:proofErr w:type="gramStart"/>
      <w:r>
        <w:rPr>
          <w:rFonts w:ascii="宋体" w:eastAsia="宋体" w:hAnsi="宋体" w:cs="宋体" w:hint="eastAsia"/>
          <w:i/>
          <w:color w:val="00B050"/>
          <w:sz w:val="24"/>
          <w:szCs w:val="24"/>
        </w:rPr>
        <w:t>跨度网</w:t>
      </w:r>
      <w:proofErr w:type="gramEnd"/>
      <w:r>
        <w:rPr>
          <w:rFonts w:ascii="宋体" w:eastAsia="宋体" w:hAnsi="宋体" w:cs="宋体" w:hint="eastAsia"/>
          <w:i/>
          <w:color w:val="00B050"/>
          <w:sz w:val="24"/>
          <w:szCs w:val="24"/>
        </w:rPr>
        <w:t>架在提升路径上不受阻碍，并避免网架就位后进行复杂的杆件拆换作业，可将永久支承柱设计为核心型钢柱与后浇外包混凝土的组合构件。在提升阶段，仅安装核心型钢</w:t>
      </w:r>
      <w:proofErr w:type="gramStart"/>
      <w:r>
        <w:rPr>
          <w:rFonts w:ascii="宋体" w:eastAsia="宋体" w:hAnsi="宋体" w:cs="宋体" w:hint="eastAsia"/>
          <w:i/>
          <w:color w:val="00B050"/>
          <w:sz w:val="24"/>
          <w:szCs w:val="24"/>
        </w:rPr>
        <w:t>柱作为</w:t>
      </w:r>
      <w:proofErr w:type="gramEnd"/>
      <w:r>
        <w:rPr>
          <w:rFonts w:ascii="宋体" w:eastAsia="宋体" w:hAnsi="宋体" w:cs="宋体" w:hint="eastAsia"/>
          <w:i/>
          <w:color w:val="00B050"/>
          <w:sz w:val="24"/>
          <w:szCs w:val="24"/>
        </w:rPr>
        <w:t>提升支撑点及临时稳定结构，为网</w:t>
      </w:r>
      <w:proofErr w:type="gramStart"/>
      <w:r>
        <w:rPr>
          <w:rFonts w:ascii="宋体" w:eastAsia="宋体" w:hAnsi="宋体" w:cs="宋体" w:hint="eastAsia"/>
          <w:i/>
          <w:color w:val="00B050"/>
          <w:sz w:val="24"/>
          <w:szCs w:val="24"/>
        </w:rPr>
        <w:t>架提供</w:t>
      </w:r>
      <w:proofErr w:type="gramEnd"/>
      <w:r>
        <w:rPr>
          <w:rFonts w:ascii="宋体" w:eastAsia="宋体" w:hAnsi="宋体" w:cs="宋体" w:hint="eastAsia"/>
          <w:i/>
          <w:color w:val="00B050"/>
          <w:sz w:val="24"/>
          <w:szCs w:val="24"/>
        </w:rPr>
        <w:t>无干涉的提升通道；</w:t>
      </w:r>
      <w:proofErr w:type="gramStart"/>
      <w:r>
        <w:rPr>
          <w:rFonts w:ascii="宋体" w:eastAsia="宋体" w:hAnsi="宋体" w:cs="宋体" w:hint="eastAsia"/>
          <w:i/>
          <w:color w:val="00B050"/>
          <w:sz w:val="24"/>
          <w:szCs w:val="24"/>
        </w:rPr>
        <w:t>待网架整体</w:t>
      </w:r>
      <w:proofErr w:type="gramEnd"/>
      <w:r>
        <w:rPr>
          <w:rFonts w:ascii="宋体" w:eastAsia="宋体" w:hAnsi="宋体" w:cs="宋体" w:hint="eastAsia"/>
          <w:i/>
          <w:color w:val="00B050"/>
          <w:sz w:val="24"/>
          <w:szCs w:val="24"/>
        </w:rPr>
        <w:t>提升并精确就位后，再浇筑外包混凝土，最终形成完整的永久支承柱。例如在顶推工法中，为了便于顶推施工，顶推结构主梁截面宜采用等宽等高平底截面，纵断面线形宜采用等曲率的直线或圆曲线。</w:t>
      </w:r>
      <w:bookmarkEnd w:id="35"/>
      <w:bookmarkEnd w:id="36"/>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sz w:val="24"/>
          <w:szCs w:val="24"/>
        </w:rPr>
        <w:t>同步施工结构设计应考虑施工过程中</w:t>
      </w:r>
      <w:r>
        <w:rPr>
          <w:rFonts w:ascii="宋体" w:eastAsia="宋体" w:hAnsi="宋体" w:cs="宋体" w:hint="eastAsia"/>
          <w:sz w:val="24"/>
          <w:szCs w:val="24"/>
        </w:rPr>
        <w:t>设备可能出现的不同步效应。</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同步施工的核心在于“同步”，但实际工程中，由于设备制造精度、液压系统响应、传感器误差及现场环境等因素，绝对的同步难以实现，总会存在一定的“不同步效应”。这种不同步会在结构（特别是永久结构）中产生设计未预期的附加内力，或在临时支撑中产生超载风险。因此，在结构设计阶段，必须定量考虑这种不利影响，在计算中引入合理的不同步系数或进行敏感性分析，为结构（尤其是关键杆件和连接节点）提供一定的安全冗余，确保在可控的不同步范围内，结构依然安全。</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同步施工应结合施工条件，充分利用永久结构，</w:t>
      </w:r>
      <w:r>
        <w:rPr>
          <w:rFonts w:ascii="宋体" w:eastAsia="宋体" w:hAnsi="宋体" w:cs="宋体"/>
          <w:sz w:val="24"/>
          <w:szCs w:val="24"/>
        </w:rPr>
        <w:t>减少临时工程量。</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w:t>
      </w:r>
      <w:r>
        <w:rPr>
          <w:rFonts w:ascii="宋体" w:eastAsia="宋体" w:hAnsi="宋体" w:cs="宋体"/>
          <w:i/>
          <w:color w:val="00B050"/>
          <w:sz w:val="24"/>
          <w:szCs w:val="24"/>
        </w:rPr>
        <w:t>为贯彻绿色、经济的建造理念，同步施工设计应</w:t>
      </w:r>
      <w:proofErr w:type="gramStart"/>
      <w:r>
        <w:rPr>
          <w:rFonts w:ascii="宋体" w:eastAsia="宋体" w:hAnsi="宋体" w:cs="宋体"/>
          <w:i/>
          <w:color w:val="00B050"/>
          <w:sz w:val="24"/>
          <w:szCs w:val="24"/>
        </w:rPr>
        <w:t>鼓励永临结合</w:t>
      </w:r>
      <w:proofErr w:type="gramEnd"/>
      <w:r>
        <w:rPr>
          <w:rFonts w:ascii="宋体" w:eastAsia="宋体" w:hAnsi="宋体" w:cs="宋体"/>
          <w:i/>
          <w:color w:val="00B050"/>
          <w:sz w:val="24"/>
          <w:szCs w:val="24"/>
        </w:rPr>
        <w:t>。即在满足永久使用功能和安全的前提下，充分利用永久结构的承载能力来服务施工阶段。例如，利用已完成的桥墩或主体框架作为顶推或提升的支撑体系；将施工阶段所需的加强构造与永久结构一体化设计，避免后期拆除。这不仅能有效减少临时措施的数量和规模，降低工程成本，也能简化施工流程，缩短工期。</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同步施工结构设计</w:t>
      </w:r>
      <w:r>
        <w:rPr>
          <w:rFonts w:ascii="宋体" w:eastAsia="宋体" w:hAnsi="宋体" w:cs="宋体"/>
          <w:sz w:val="24"/>
          <w:szCs w:val="24"/>
        </w:rPr>
        <w:t>应</w:t>
      </w:r>
      <w:r>
        <w:rPr>
          <w:rFonts w:ascii="宋体" w:eastAsia="宋体" w:hAnsi="宋体" w:cs="宋体" w:hint="eastAsia"/>
          <w:sz w:val="24"/>
          <w:szCs w:val="24"/>
        </w:rPr>
        <w:t>提出</w:t>
      </w:r>
      <w:r>
        <w:rPr>
          <w:rFonts w:ascii="宋体" w:eastAsia="宋体" w:hAnsi="宋体" w:cs="宋体"/>
          <w:sz w:val="24"/>
          <w:szCs w:val="24"/>
        </w:rPr>
        <w:t>施工过程中的主要监控指标及施工技术要求。</w:t>
      </w:r>
    </w:p>
    <w:p w:rsidR="00BA6061" w:rsidRDefault="00610DB9">
      <w:pPr>
        <w:pStyle w:val="2"/>
        <w:keepNext w:val="0"/>
        <w:keepLines w:val="0"/>
        <w:numPr>
          <w:ilvl w:val="1"/>
          <w:numId w:val="1"/>
        </w:numPr>
        <w:spacing w:before="312" w:after="312" w:line="360" w:lineRule="auto"/>
        <w:ind w:left="0" w:firstLine="560"/>
        <w:jc w:val="center"/>
        <w:rPr>
          <w:rFonts w:ascii="黑体" w:hAnsi="黑体" w:cs="黑体"/>
          <w:b w:val="0"/>
          <w:sz w:val="28"/>
          <w:szCs w:val="28"/>
        </w:rPr>
      </w:pPr>
      <w:bookmarkStart w:id="37" w:name="_Toc223533687"/>
      <w:bookmarkStart w:id="38" w:name="_Toc224026603"/>
      <w:bookmarkEnd w:id="33"/>
      <w:bookmarkEnd w:id="34"/>
      <w:r>
        <w:rPr>
          <w:rFonts w:ascii="黑体" w:hAnsi="黑体" w:cs="黑体"/>
          <w:b w:val="0"/>
          <w:sz w:val="28"/>
          <w:szCs w:val="28"/>
        </w:rPr>
        <w:t>总体设计</w:t>
      </w:r>
      <w:bookmarkEnd w:id="37"/>
      <w:bookmarkEnd w:id="38"/>
    </w:p>
    <w:p w:rsidR="00BA6061" w:rsidRDefault="00BA6061">
      <w:pPr>
        <w:pStyle w:val="ad"/>
        <w:numPr>
          <w:ilvl w:val="0"/>
          <w:numId w:val="4"/>
        </w:numPr>
        <w:spacing w:line="360" w:lineRule="auto"/>
        <w:ind w:firstLineChars="0"/>
        <w:jc w:val="left"/>
        <w:rPr>
          <w:rFonts w:ascii="宋体" w:eastAsia="宋体" w:hAnsi="宋体" w:cs="宋体"/>
          <w:vanish/>
          <w:sz w:val="24"/>
          <w:szCs w:val="24"/>
        </w:rPr>
      </w:pPr>
      <w:bookmarkStart w:id="39" w:name="OLE_LINK28"/>
    </w:p>
    <w:p w:rsidR="00BA6061" w:rsidRDefault="00BA6061">
      <w:pPr>
        <w:pStyle w:val="ad"/>
        <w:numPr>
          <w:ilvl w:val="0"/>
          <w:numId w:val="4"/>
        </w:numPr>
        <w:spacing w:line="360" w:lineRule="auto"/>
        <w:ind w:firstLineChars="0"/>
        <w:jc w:val="left"/>
        <w:rPr>
          <w:rFonts w:ascii="宋体" w:eastAsia="宋体" w:hAnsi="宋体" w:cs="宋体"/>
          <w:vanish/>
          <w:sz w:val="24"/>
          <w:szCs w:val="24"/>
        </w:rPr>
      </w:pPr>
    </w:p>
    <w:p w:rsidR="00BA6061" w:rsidRDefault="00BA6061">
      <w:pPr>
        <w:pStyle w:val="ad"/>
        <w:numPr>
          <w:ilvl w:val="0"/>
          <w:numId w:val="4"/>
        </w:numPr>
        <w:spacing w:line="360" w:lineRule="auto"/>
        <w:ind w:firstLineChars="0"/>
        <w:jc w:val="left"/>
        <w:rPr>
          <w:rFonts w:ascii="宋体" w:eastAsia="宋体" w:hAnsi="宋体" w:cs="宋体"/>
          <w:vanish/>
          <w:sz w:val="24"/>
          <w:szCs w:val="24"/>
        </w:rPr>
      </w:pPr>
    </w:p>
    <w:p w:rsidR="00BA6061" w:rsidRDefault="00BA6061">
      <w:pPr>
        <w:pStyle w:val="ad"/>
        <w:numPr>
          <w:ilvl w:val="0"/>
          <w:numId w:val="4"/>
        </w:numPr>
        <w:spacing w:line="360" w:lineRule="auto"/>
        <w:ind w:firstLineChars="0"/>
        <w:jc w:val="left"/>
        <w:rPr>
          <w:rFonts w:ascii="宋体" w:eastAsia="宋体" w:hAnsi="宋体" w:cs="宋体"/>
          <w:vanish/>
          <w:sz w:val="24"/>
          <w:szCs w:val="24"/>
        </w:rPr>
      </w:pPr>
    </w:p>
    <w:p w:rsidR="00BA6061" w:rsidRDefault="00BA6061">
      <w:pPr>
        <w:pStyle w:val="ad"/>
        <w:numPr>
          <w:ilvl w:val="0"/>
          <w:numId w:val="4"/>
        </w:numPr>
        <w:spacing w:line="360" w:lineRule="auto"/>
        <w:ind w:firstLineChars="0"/>
        <w:jc w:val="left"/>
        <w:rPr>
          <w:rFonts w:ascii="宋体" w:eastAsia="宋体" w:hAnsi="宋体" w:cs="宋体"/>
          <w:vanish/>
          <w:sz w:val="24"/>
          <w:szCs w:val="24"/>
        </w:rPr>
      </w:pPr>
    </w:p>
    <w:p w:rsidR="00BA6061" w:rsidRDefault="00BA6061">
      <w:pPr>
        <w:pStyle w:val="ad"/>
        <w:numPr>
          <w:ilvl w:val="1"/>
          <w:numId w:val="4"/>
        </w:numPr>
        <w:spacing w:line="360" w:lineRule="auto"/>
        <w:ind w:firstLineChars="0"/>
        <w:jc w:val="left"/>
        <w:rPr>
          <w:rFonts w:ascii="宋体" w:eastAsia="宋体" w:hAnsi="宋体" w:cs="宋体"/>
          <w:vanish/>
          <w:sz w:val="24"/>
          <w:szCs w:val="24"/>
        </w:rPr>
      </w:pPr>
    </w:p>
    <w:p w:rsidR="00BA6061" w:rsidRDefault="00BA6061">
      <w:pPr>
        <w:pStyle w:val="ad"/>
        <w:numPr>
          <w:ilvl w:val="1"/>
          <w:numId w:val="4"/>
        </w:numPr>
        <w:spacing w:line="360" w:lineRule="auto"/>
        <w:ind w:firstLineChars="0"/>
        <w:jc w:val="left"/>
        <w:rPr>
          <w:rFonts w:ascii="宋体" w:eastAsia="宋体" w:hAnsi="宋体" w:cs="宋体"/>
          <w:vanish/>
          <w:sz w:val="24"/>
          <w:szCs w:val="24"/>
        </w:rPr>
      </w:pPr>
    </w:p>
    <w:p w:rsidR="00BA6061" w:rsidRDefault="00BA6061">
      <w:pPr>
        <w:pStyle w:val="ad"/>
        <w:numPr>
          <w:ilvl w:val="1"/>
          <w:numId w:val="4"/>
        </w:numPr>
        <w:spacing w:line="360" w:lineRule="auto"/>
        <w:ind w:firstLineChars="0"/>
        <w:jc w:val="left"/>
        <w:rPr>
          <w:rFonts w:ascii="宋体" w:eastAsia="宋体" w:hAnsi="宋体" w:cs="宋体"/>
          <w:vanish/>
          <w:sz w:val="24"/>
          <w:szCs w:val="24"/>
        </w:rPr>
      </w:pPr>
    </w:p>
    <w:p w:rsidR="00BA6061" w:rsidRDefault="00610DB9">
      <w:pPr>
        <w:pStyle w:val="ad"/>
        <w:numPr>
          <w:ilvl w:val="2"/>
          <w:numId w:val="4"/>
        </w:numPr>
        <w:spacing w:line="360" w:lineRule="auto"/>
        <w:ind w:firstLineChars="0"/>
        <w:jc w:val="left"/>
        <w:rPr>
          <w:rFonts w:ascii="宋体" w:eastAsia="宋体" w:hAnsi="宋体" w:cs="宋体"/>
          <w:sz w:val="24"/>
          <w:szCs w:val="24"/>
        </w:rPr>
      </w:pPr>
      <w:r>
        <w:rPr>
          <w:rFonts w:ascii="宋体" w:eastAsia="宋体" w:hAnsi="宋体" w:cs="宋体"/>
          <w:sz w:val="24"/>
          <w:szCs w:val="24"/>
        </w:rPr>
        <w:t>总体设计应包括施工</w:t>
      </w:r>
      <w:proofErr w:type="gramStart"/>
      <w:r>
        <w:rPr>
          <w:rFonts w:ascii="宋体" w:eastAsia="宋体" w:hAnsi="宋体" w:cs="宋体" w:hint="eastAsia"/>
          <w:sz w:val="24"/>
          <w:szCs w:val="24"/>
        </w:rPr>
        <w:t>工</w:t>
      </w:r>
      <w:proofErr w:type="gramEnd"/>
      <w:r>
        <w:rPr>
          <w:rFonts w:ascii="宋体" w:eastAsia="宋体" w:hAnsi="宋体" w:cs="宋体" w:hint="eastAsia"/>
          <w:sz w:val="24"/>
          <w:szCs w:val="24"/>
        </w:rPr>
        <w:t>法</w:t>
      </w:r>
      <w:r>
        <w:rPr>
          <w:rFonts w:ascii="宋体" w:eastAsia="宋体" w:hAnsi="宋体" w:cs="宋体"/>
          <w:sz w:val="24"/>
          <w:szCs w:val="24"/>
        </w:rPr>
        <w:t>选择、</w:t>
      </w:r>
      <w:r>
        <w:rPr>
          <w:rFonts w:ascii="宋体" w:eastAsia="宋体" w:hAnsi="宋体" w:cs="宋体" w:hint="eastAsia"/>
          <w:sz w:val="24"/>
          <w:szCs w:val="24"/>
        </w:rPr>
        <w:t>施工流程、主体结构和临时结构总体布置及施工控制要求</w:t>
      </w:r>
      <w:r>
        <w:rPr>
          <w:rFonts w:ascii="宋体" w:eastAsia="宋体" w:hAnsi="宋体" w:cs="宋体"/>
          <w:sz w:val="24"/>
          <w:szCs w:val="24"/>
        </w:rPr>
        <w:t>等内容。</w:t>
      </w:r>
    </w:p>
    <w:p w:rsidR="00BA6061" w:rsidRDefault="00610DB9">
      <w:pPr>
        <w:pStyle w:val="ad"/>
        <w:numPr>
          <w:ilvl w:val="2"/>
          <w:numId w:val="4"/>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同步提升应按照支承结构安装、提升施工、应急加固和拆除四个阶段进行施工阶段的结构分析、结构补强与连接设计。</w:t>
      </w:r>
    </w:p>
    <w:p w:rsidR="00BA6061" w:rsidRDefault="00610DB9">
      <w:pPr>
        <w:pStyle w:val="ad"/>
        <w:numPr>
          <w:ilvl w:val="2"/>
          <w:numId w:val="4"/>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同步提升宜选择与工程结构永久支承点相近的位置作为提升点，使工程结构施工阶段的受力状态与使用状态接近。</w:t>
      </w:r>
      <w:proofErr w:type="gramStart"/>
      <w:r>
        <w:rPr>
          <w:rFonts w:ascii="宋体" w:eastAsia="宋体" w:hAnsi="宋体" w:cs="宋体" w:hint="eastAsia"/>
          <w:sz w:val="24"/>
          <w:szCs w:val="24"/>
        </w:rPr>
        <w:t>若工</w:t>
      </w:r>
      <w:proofErr w:type="gramEnd"/>
      <w:r>
        <w:rPr>
          <w:rFonts w:ascii="宋体" w:eastAsia="宋体" w:hAnsi="宋体" w:cs="宋体" w:hint="eastAsia"/>
          <w:sz w:val="24"/>
          <w:szCs w:val="24"/>
        </w:rPr>
        <w:t>艺需要，可增加提升点数量，使载荷分布合理。</w:t>
      </w:r>
    </w:p>
    <w:p w:rsidR="00BA6061" w:rsidRDefault="00610DB9">
      <w:pPr>
        <w:pStyle w:val="ad"/>
        <w:spacing w:line="360" w:lineRule="auto"/>
        <w:ind w:firstLine="480"/>
        <w:jc w:val="left"/>
        <w:rPr>
          <w:rFonts w:ascii="宋体" w:eastAsia="宋体" w:hAnsi="宋体" w:cs="宋体"/>
          <w:i/>
          <w:color w:val="00B050"/>
          <w:sz w:val="24"/>
          <w:szCs w:val="24"/>
        </w:rPr>
      </w:pPr>
      <w:bookmarkStart w:id="40" w:name="OLE_LINK29"/>
      <w:r>
        <w:rPr>
          <w:rFonts w:ascii="宋体" w:eastAsia="宋体" w:hAnsi="宋体" w:cs="宋体" w:hint="eastAsia"/>
          <w:i/>
          <w:color w:val="00B050"/>
          <w:sz w:val="24"/>
          <w:szCs w:val="24"/>
        </w:rPr>
        <w:t>条文说明：</w:t>
      </w:r>
      <w:bookmarkEnd w:id="40"/>
      <w:r>
        <w:rPr>
          <w:rFonts w:ascii="宋体" w:eastAsia="宋体" w:hAnsi="宋体" w:cs="宋体"/>
          <w:i/>
          <w:color w:val="00B050"/>
          <w:sz w:val="24"/>
          <w:szCs w:val="24"/>
        </w:rPr>
        <w:t>提升点的布置是同步提升设计的核心之一。优先选择与工程结构永久支承点相近的位置作为提升点，可以使被提升结构在施工阶段的受力模式与使用状态最大限度地接近，从而避免为满足施工期受力而对结构进行大规模额外加强，实现经济性目标。</w:t>
      </w:r>
      <w:proofErr w:type="gramStart"/>
      <w:r>
        <w:rPr>
          <w:rFonts w:ascii="宋体" w:eastAsia="宋体" w:hAnsi="宋体" w:cs="宋体"/>
          <w:i/>
          <w:color w:val="00B050"/>
          <w:sz w:val="24"/>
          <w:szCs w:val="24"/>
        </w:rPr>
        <w:t>当结构</w:t>
      </w:r>
      <w:proofErr w:type="gramEnd"/>
      <w:r>
        <w:rPr>
          <w:rFonts w:ascii="宋体" w:eastAsia="宋体" w:hAnsi="宋体" w:cs="宋体"/>
          <w:i/>
          <w:color w:val="00B050"/>
          <w:sz w:val="24"/>
          <w:szCs w:val="24"/>
        </w:rPr>
        <w:t>跨度大、刚度较弱或平面形状不规则时，</w:t>
      </w:r>
      <w:r>
        <w:rPr>
          <w:rFonts w:ascii="宋体" w:eastAsia="宋体" w:hAnsi="宋体" w:cs="宋体" w:hint="eastAsia"/>
          <w:i/>
          <w:color w:val="00B050"/>
          <w:sz w:val="24"/>
          <w:szCs w:val="24"/>
        </w:rPr>
        <w:t>可</w:t>
      </w:r>
      <w:r>
        <w:rPr>
          <w:rFonts w:ascii="宋体" w:eastAsia="宋体" w:hAnsi="宋体" w:cs="宋体"/>
          <w:i/>
          <w:color w:val="00B050"/>
          <w:sz w:val="24"/>
          <w:szCs w:val="24"/>
        </w:rPr>
        <w:t>增加提升点数量，通过调整吊点布置使荷载分布更趋合理，有效控制结构变形与应力水平。</w:t>
      </w:r>
    </w:p>
    <w:p w:rsidR="00BA6061" w:rsidRDefault="00610DB9">
      <w:pPr>
        <w:pStyle w:val="ad"/>
        <w:numPr>
          <w:ilvl w:val="2"/>
          <w:numId w:val="4"/>
        </w:numPr>
        <w:spacing w:line="360" w:lineRule="auto"/>
        <w:ind w:left="0" w:firstLineChars="0" w:firstLine="0"/>
        <w:jc w:val="left"/>
        <w:rPr>
          <w:rFonts w:ascii="宋体" w:eastAsia="宋体" w:hAnsi="宋体" w:cs="宋体"/>
          <w:sz w:val="24"/>
          <w:szCs w:val="24"/>
        </w:rPr>
      </w:pPr>
      <w:bookmarkStart w:id="41" w:name="OLE_LINK21"/>
      <w:r>
        <w:rPr>
          <w:rFonts w:ascii="宋体" w:eastAsia="宋体" w:hAnsi="宋体" w:cs="宋体" w:hint="eastAsia"/>
          <w:sz w:val="24"/>
          <w:szCs w:val="24"/>
        </w:rPr>
        <w:t>同步提升的同步控制策略应根据相邻吊点的相对刚度采用载荷均衡为主的控制策略、位移同步为主的控制策略或载荷位移组合控制策略。</w:t>
      </w:r>
      <w:bookmarkEnd w:id="41"/>
      <w:r>
        <w:rPr>
          <w:rFonts w:ascii="宋体" w:eastAsia="宋体" w:hAnsi="宋体" w:cs="宋体" w:hint="eastAsia"/>
          <w:sz w:val="24"/>
          <w:szCs w:val="24"/>
        </w:rPr>
        <w:t>按相邻吊点的位移不同步值取</w:t>
      </w:r>
      <w:r>
        <w:rPr>
          <w:rFonts w:ascii="宋体" w:eastAsia="宋体" w:hAnsi="宋体" w:cs="宋体"/>
          <w:sz w:val="24"/>
          <w:szCs w:val="24"/>
        </w:rPr>
        <w:t>L</w:t>
      </w:r>
      <w:r>
        <w:rPr>
          <w:rFonts w:ascii="Cambria Math" w:eastAsia="宋体" w:hAnsi="Cambria Math" w:cs="Cambria Math"/>
          <w:sz w:val="24"/>
          <w:szCs w:val="24"/>
        </w:rPr>
        <w:t>₀</w:t>
      </w:r>
      <w:r>
        <w:rPr>
          <w:rFonts w:ascii="宋体" w:eastAsia="宋体" w:hAnsi="宋体" w:cs="宋体"/>
          <w:sz w:val="24"/>
          <w:szCs w:val="24"/>
        </w:rPr>
        <w:t>/250</w:t>
      </w:r>
      <w:r>
        <w:rPr>
          <w:rFonts w:ascii="宋体" w:eastAsia="宋体" w:hAnsi="宋体" w:cs="宋体" w:hint="eastAsia"/>
          <w:sz w:val="24"/>
          <w:szCs w:val="24"/>
        </w:rPr>
        <w:t>（</w:t>
      </w:r>
      <w:r>
        <w:rPr>
          <w:rFonts w:ascii="宋体" w:eastAsia="宋体" w:hAnsi="宋体" w:cs="宋体"/>
          <w:sz w:val="24"/>
          <w:szCs w:val="24"/>
        </w:rPr>
        <w:t>L</w:t>
      </w:r>
      <w:r>
        <w:rPr>
          <w:rFonts w:ascii="Cambria Math" w:eastAsia="宋体" w:hAnsi="Cambria Math" w:cs="Cambria Math"/>
          <w:sz w:val="24"/>
          <w:szCs w:val="24"/>
        </w:rPr>
        <w:t>₀</w:t>
      </w:r>
      <w:r>
        <w:rPr>
          <w:rFonts w:ascii="宋体" w:eastAsia="宋体" w:hAnsi="宋体" w:cs="宋体" w:hint="eastAsia"/>
          <w:sz w:val="24"/>
          <w:szCs w:val="24"/>
        </w:rPr>
        <w:t>为被提升结构吊点距离）且不小于</w:t>
      </w:r>
      <w:r>
        <w:rPr>
          <w:rFonts w:ascii="宋体" w:eastAsia="宋体" w:hAnsi="宋体" w:cs="宋体"/>
          <w:sz w:val="24"/>
          <w:szCs w:val="24"/>
        </w:rPr>
        <w:t xml:space="preserve"> ±25mm</w:t>
      </w:r>
      <w:r>
        <w:rPr>
          <w:rFonts w:ascii="宋体" w:eastAsia="宋体" w:hAnsi="宋体" w:cs="宋体" w:hint="eastAsia"/>
          <w:sz w:val="24"/>
          <w:szCs w:val="24"/>
        </w:rPr>
        <w:t>进行相邻吊点载荷变化量计算，</w:t>
      </w:r>
      <w:bookmarkStart w:id="42" w:name="OLE_LINK20"/>
      <w:r>
        <w:rPr>
          <w:rFonts w:ascii="宋体" w:eastAsia="宋体" w:hAnsi="宋体" w:cs="宋体" w:hint="eastAsia"/>
          <w:sz w:val="24"/>
          <w:szCs w:val="24"/>
        </w:rPr>
        <w:t>当变化量</w:t>
      </w:r>
      <w:bookmarkEnd w:id="42"/>
      <w:r>
        <w:rPr>
          <w:rFonts w:ascii="宋体" w:eastAsia="宋体" w:hAnsi="宋体" w:cs="宋体" w:hint="eastAsia"/>
          <w:sz w:val="24"/>
          <w:szCs w:val="24"/>
        </w:rPr>
        <w:t>≥10%时，宜采用载荷均衡为主的控制策略；当变化量＜10%时，宜采用位移同步为主的控制策略。</w:t>
      </w:r>
    </w:p>
    <w:p w:rsidR="00BA6061" w:rsidRDefault="00610DB9">
      <w:pPr>
        <w:pStyle w:val="ad"/>
        <w:numPr>
          <w:ilvl w:val="2"/>
          <w:numId w:val="4"/>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大型工程结构采用同步提升施工工艺时，宜采用“低位拼装、整体提升到位”方案。对大跨度桥梁结构，被提升段长度应结合桥梁总体布置、结构内力分布、临时支架布置、提升吨位综合考虑。</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条文说明：大型结构采用“低位拼装、同步提升”方案时，整体提升明显优于分片提升。因为整体提升可在低位</w:t>
      </w:r>
      <w:proofErr w:type="gramStart"/>
      <w:r>
        <w:rPr>
          <w:rFonts w:ascii="宋体" w:eastAsia="宋体" w:hAnsi="宋体" w:cs="宋体" w:hint="eastAsia"/>
          <w:i/>
          <w:color w:val="00B050"/>
          <w:sz w:val="24"/>
          <w:szCs w:val="24"/>
        </w:rPr>
        <w:t>胎</w:t>
      </w:r>
      <w:proofErr w:type="gramEnd"/>
      <w:r>
        <w:rPr>
          <w:rFonts w:ascii="宋体" w:eastAsia="宋体" w:hAnsi="宋体" w:cs="宋体" w:hint="eastAsia"/>
          <w:i/>
          <w:color w:val="00B050"/>
          <w:sz w:val="24"/>
          <w:szCs w:val="24"/>
        </w:rPr>
        <w:t>架上完成全部主次结构的拼装，避免了分片高空组对的尺寸偏差与安装困难，一次成型精度高；同时将大量高空作业转为地面作业，大幅降低安全风险，并省去分片提升所需的高空支撑与多次校正费用；加之计算机控制液压同步技术成熟，整体提升</w:t>
      </w:r>
      <w:proofErr w:type="gramStart"/>
      <w:r>
        <w:rPr>
          <w:rFonts w:ascii="宋体" w:eastAsia="宋体" w:hAnsi="宋体" w:cs="宋体" w:hint="eastAsia"/>
          <w:i/>
          <w:color w:val="00B050"/>
          <w:sz w:val="24"/>
          <w:szCs w:val="24"/>
        </w:rPr>
        <w:t>各吊点</w:t>
      </w:r>
      <w:proofErr w:type="gramEnd"/>
      <w:r>
        <w:rPr>
          <w:rFonts w:ascii="宋体" w:eastAsia="宋体" w:hAnsi="宋体" w:cs="宋体" w:hint="eastAsia"/>
          <w:i/>
          <w:color w:val="00B050"/>
          <w:sz w:val="24"/>
          <w:szCs w:val="24"/>
        </w:rPr>
        <w:t>位移均匀可控，而分片提升易产生相互牵制、协调困难。因此，只要提升架等起重条件满足要求，整体提升是首选方案，核心优势在于“地面多拼、高空少焊”。</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大跨度桥梁结构（如钢箱梁、钢</w:t>
      </w:r>
      <w:proofErr w:type="gramStart"/>
      <w:r>
        <w:rPr>
          <w:rFonts w:ascii="宋体" w:eastAsia="宋体" w:hAnsi="宋体" w:cs="宋体" w:hint="eastAsia"/>
          <w:i/>
          <w:color w:val="00B050"/>
          <w:sz w:val="24"/>
          <w:szCs w:val="24"/>
        </w:rPr>
        <w:t>桁</w:t>
      </w:r>
      <w:proofErr w:type="gramEnd"/>
      <w:r>
        <w:rPr>
          <w:rFonts w:ascii="宋体" w:eastAsia="宋体" w:hAnsi="宋体" w:cs="宋体" w:hint="eastAsia"/>
          <w:i/>
          <w:color w:val="00B050"/>
          <w:sz w:val="24"/>
          <w:szCs w:val="24"/>
        </w:rPr>
        <w:t>梁、钢拱肋等）采用“低位拼装、整体提升到位”方案，能够显著降低高空作业风险、提高拼装精度与施工效率。其中，被提升段长度的合理确定是方案成功实施的关键环节。本条明确了被提升段长度的核心设计原则。分段长度并非独立参数，而是桥梁结构体系、施工条件与经济安全的综合平衡点。首先，需服从桥梁总体布置，其分段点应尽量与结构受力节点或永久节段划分相协调，以确保提升单元的结构完整性及就位后的连接质量。此外，分段位置应符合结构内力分布规律：（1）需考虑永久结构受力，确保分段接头避开主梁（或拱肋）弯矩或应力较大区域；（2）需验算被提升结构在吊点支承状态下的临时受力，确保其强度、稳定性及变形可控。其次，受制于临时支架（含拼装支架与提升支架）布置，拼装段的长度与重量必须适应现场支架的承载能力与布置间距，保障低位拼装阶段和提升节段的稳定与安全。最后，关键控制因素是提升吨位，被提升段长度直接决定了提升重量，必须与提升设备的额定能力相匹配，并留有充足安全余量。</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因此，确定被提升段长度需进行多方案比选与一体化计算，以实现技术合理、安全可靠与经济可行的统一。</w:t>
      </w:r>
    </w:p>
    <w:p w:rsidR="00BA6061" w:rsidRDefault="00610DB9">
      <w:pPr>
        <w:pStyle w:val="ad"/>
        <w:numPr>
          <w:ilvl w:val="2"/>
          <w:numId w:val="4"/>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同步提升的提升支架宜利用既有竖向承重构件，临时提升支架结构形式和设置位置应结合主体结构确定，应避免在主体结构关键受力部位开设临时孔。</w:t>
      </w:r>
    </w:p>
    <w:p w:rsidR="00BA6061" w:rsidRDefault="00610DB9">
      <w:pPr>
        <w:pStyle w:val="ad"/>
        <w:numPr>
          <w:ilvl w:val="2"/>
          <w:numId w:val="4"/>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同步滑移单元的划分应综合考虑主体结构刚度、强度、稳定性、施工场地空间、吊装设备能力及工艺等因素，采用大单元或小单元划分。</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w:t>
      </w:r>
      <w:r>
        <w:rPr>
          <w:rFonts w:ascii="宋体" w:eastAsia="宋体" w:hAnsi="宋体" w:cs="宋体"/>
          <w:i/>
          <w:color w:val="00B050"/>
          <w:sz w:val="24"/>
          <w:szCs w:val="24"/>
        </w:rPr>
        <w:t>同步滑移的关键在于滑移单元的合理划分与滑移方式的正确选择。</w:t>
      </w:r>
      <w:r>
        <w:rPr>
          <w:rFonts w:ascii="宋体" w:eastAsia="宋体" w:hAnsi="宋体" w:cs="宋体" w:hint="eastAsia"/>
          <w:i/>
          <w:color w:val="00B050"/>
          <w:sz w:val="24"/>
          <w:szCs w:val="24"/>
        </w:rPr>
        <w:t>滑</w:t>
      </w:r>
      <w:r>
        <w:rPr>
          <w:rFonts w:ascii="宋体" w:eastAsia="宋体" w:hAnsi="宋体" w:cs="宋体"/>
          <w:i/>
          <w:color w:val="00B050"/>
          <w:sz w:val="24"/>
          <w:szCs w:val="24"/>
        </w:rPr>
        <w:t>移单元划分需综合考虑结构的自然分段、自身稳定性、施工吊装能力、滑移推力及临时措施用量等因素</w:t>
      </w:r>
      <w:r>
        <w:rPr>
          <w:rFonts w:ascii="宋体" w:eastAsia="宋体" w:hAnsi="宋体" w:cs="宋体" w:hint="eastAsia"/>
          <w:i/>
          <w:color w:val="00B050"/>
          <w:sz w:val="24"/>
          <w:szCs w:val="24"/>
        </w:rPr>
        <w:t>，</w:t>
      </w:r>
      <w:r>
        <w:rPr>
          <w:rFonts w:ascii="宋体" w:eastAsia="宋体" w:hAnsi="宋体" w:cs="宋体"/>
          <w:i/>
          <w:color w:val="00B050"/>
          <w:sz w:val="24"/>
          <w:szCs w:val="24"/>
        </w:rPr>
        <w:t>划分后的单元应具备足够的刚度和稳定性，能够独立完成滑移过程。</w:t>
      </w:r>
      <w:bookmarkStart w:id="43" w:name="OLE_LINK30"/>
      <w:bookmarkStart w:id="44" w:name="OLE_LINK31"/>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依据现行公路桥涵施工技术标准关于牵引节段长度确定原则，综合考虑桥墩承载能力、结构刚度和设备能力。工程实践经验表明，刚度大的网架、连续钢箱梁等大单元滑移效率高，刚度小的桁架、薄壁</w:t>
      </w:r>
      <w:proofErr w:type="gramStart"/>
      <w:r>
        <w:rPr>
          <w:rFonts w:ascii="宋体" w:eastAsia="宋体" w:hAnsi="宋体" w:cs="宋体" w:hint="eastAsia"/>
          <w:i/>
          <w:color w:val="00B050"/>
          <w:sz w:val="24"/>
          <w:szCs w:val="24"/>
        </w:rPr>
        <w:t>结构需小单元</w:t>
      </w:r>
      <w:proofErr w:type="gramEnd"/>
      <w:r>
        <w:rPr>
          <w:rFonts w:ascii="宋体" w:eastAsia="宋体" w:hAnsi="宋体" w:cs="宋体" w:hint="eastAsia"/>
          <w:i/>
          <w:color w:val="00B050"/>
          <w:sz w:val="24"/>
          <w:szCs w:val="24"/>
        </w:rPr>
        <w:t>并设临时支撑以确保稳定。</w:t>
      </w:r>
    </w:p>
    <w:bookmarkEnd w:id="43"/>
    <w:bookmarkEnd w:id="44"/>
    <w:p w:rsidR="00BA6061" w:rsidRDefault="00610DB9">
      <w:pPr>
        <w:pStyle w:val="ad"/>
        <w:numPr>
          <w:ilvl w:val="2"/>
          <w:numId w:val="4"/>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同步滑移的滑移方式应综合考虑结构特点、滑移距离、场地条件等因素，采用滑动滑移、滚动滑移等方式，对曲线滑移和超大跨度空间钢结构滑移宜采用滚动滑移方式。</w:t>
      </w:r>
    </w:p>
    <w:p w:rsidR="00BA6061" w:rsidRDefault="00610DB9">
      <w:pPr>
        <w:pStyle w:val="ad"/>
        <w:numPr>
          <w:ilvl w:val="2"/>
          <w:numId w:val="4"/>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同步顶推应根据航道、道路、既有构筑物等现场条件，以及结构受力和经济性，确定顶推跨径、顶推轨迹、顶推平台及顶推支墩布置。</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条文说明：确定顶推跨径和临时</w:t>
      </w:r>
      <w:proofErr w:type="gramStart"/>
      <w:r>
        <w:rPr>
          <w:rFonts w:ascii="宋体" w:eastAsia="宋体" w:hAnsi="宋体" w:cs="宋体" w:hint="eastAsia"/>
          <w:i/>
          <w:color w:val="00B050"/>
          <w:sz w:val="24"/>
          <w:szCs w:val="24"/>
        </w:rPr>
        <w:t>墩</w:t>
      </w:r>
      <w:proofErr w:type="gramEnd"/>
      <w:r>
        <w:rPr>
          <w:rFonts w:ascii="宋体" w:eastAsia="宋体" w:hAnsi="宋体" w:cs="宋体" w:hint="eastAsia"/>
          <w:i/>
          <w:color w:val="00B050"/>
          <w:sz w:val="24"/>
          <w:szCs w:val="24"/>
        </w:rPr>
        <w:t>设置时，除了要满足通航、交通通行和避开既有建筑外，还要考虑桥梁主体结构和临时结构的整体经济性。临时</w:t>
      </w:r>
      <w:proofErr w:type="gramStart"/>
      <w:r>
        <w:rPr>
          <w:rFonts w:ascii="宋体" w:eastAsia="宋体" w:hAnsi="宋体" w:cs="宋体" w:hint="eastAsia"/>
          <w:i/>
          <w:color w:val="00B050"/>
          <w:sz w:val="24"/>
          <w:szCs w:val="24"/>
        </w:rPr>
        <w:t>墩</w:t>
      </w:r>
      <w:proofErr w:type="gramEnd"/>
      <w:r>
        <w:rPr>
          <w:rFonts w:ascii="宋体" w:eastAsia="宋体" w:hAnsi="宋体" w:cs="宋体" w:hint="eastAsia"/>
          <w:i/>
          <w:color w:val="00B050"/>
          <w:sz w:val="24"/>
          <w:szCs w:val="24"/>
        </w:rPr>
        <w:t>数量少，节省了临时</w:t>
      </w:r>
      <w:proofErr w:type="gramStart"/>
      <w:r>
        <w:rPr>
          <w:rFonts w:ascii="宋体" w:eastAsia="宋体" w:hAnsi="宋体" w:cs="宋体" w:hint="eastAsia"/>
          <w:i/>
          <w:color w:val="00B050"/>
          <w:sz w:val="24"/>
          <w:szCs w:val="24"/>
        </w:rPr>
        <w:t>墩</w:t>
      </w:r>
      <w:proofErr w:type="gramEnd"/>
      <w:r>
        <w:rPr>
          <w:rFonts w:ascii="宋体" w:eastAsia="宋体" w:hAnsi="宋体" w:cs="宋体" w:hint="eastAsia"/>
          <w:i/>
          <w:color w:val="00B050"/>
          <w:sz w:val="24"/>
          <w:szCs w:val="24"/>
        </w:rPr>
        <w:t>材料用量，但增大了顶推跨径，有可能需要增加导梁或对桥梁主体结构进行额外加强才能适应顶推施工的受力要求。临时</w:t>
      </w:r>
      <w:proofErr w:type="gramStart"/>
      <w:r>
        <w:rPr>
          <w:rFonts w:ascii="宋体" w:eastAsia="宋体" w:hAnsi="宋体" w:cs="宋体" w:hint="eastAsia"/>
          <w:i/>
          <w:color w:val="00B050"/>
          <w:sz w:val="24"/>
          <w:szCs w:val="24"/>
        </w:rPr>
        <w:t>墩</w:t>
      </w:r>
      <w:proofErr w:type="gramEnd"/>
      <w:r>
        <w:rPr>
          <w:rFonts w:ascii="宋体" w:eastAsia="宋体" w:hAnsi="宋体" w:cs="宋体" w:hint="eastAsia"/>
          <w:i/>
          <w:color w:val="00B050"/>
          <w:sz w:val="24"/>
          <w:szCs w:val="24"/>
        </w:rPr>
        <w:t>数量多，会增加临时</w:t>
      </w:r>
      <w:proofErr w:type="gramStart"/>
      <w:r>
        <w:rPr>
          <w:rFonts w:ascii="宋体" w:eastAsia="宋体" w:hAnsi="宋体" w:cs="宋体" w:hint="eastAsia"/>
          <w:i/>
          <w:color w:val="00B050"/>
          <w:sz w:val="24"/>
          <w:szCs w:val="24"/>
        </w:rPr>
        <w:t>墩</w:t>
      </w:r>
      <w:proofErr w:type="gramEnd"/>
      <w:r>
        <w:rPr>
          <w:rFonts w:ascii="宋体" w:eastAsia="宋体" w:hAnsi="宋体" w:cs="宋体" w:hint="eastAsia"/>
          <w:i/>
          <w:color w:val="00B050"/>
          <w:sz w:val="24"/>
          <w:szCs w:val="24"/>
        </w:rPr>
        <w:t>材料用量和</w:t>
      </w:r>
      <w:proofErr w:type="gramStart"/>
      <w:r>
        <w:rPr>
          <w:rFonts w:ascii="宋体" w:eastAsia="宋体" w:hAnsi="宋体" w:cs="宋体" w:hint="eastAsia"/>
          <w:i/>
          <w:color w:val="00B050"/>
          <w:sz w:val="24"/>
          <w:szCs w:val="24"/>
        </w:rPr>
        <w:t>墩顶</w:t>
      </w:r>
      <w:proofErr w:type="gramEnd"/>
      <w:r>
        <w:rPr>
          <w:rFonts w:ascii="宋体" w:eastAsia="宋体" w:hAnsi="宋体" w:cs="宋体" w:hint="eastAsia"/>
          <w:i/>
          <w:color w:val="00B050"/>
          <w:sz w:val="24"/>
          <w:szCs w:val="24"/>
        </w:rPr>
        <w:t>临时顶推设备的数量，加大各顶推设备同步性控制的难度，且桥梁主体结构的承载能力有可能没有得到充分的发挥。因此，在确定顶推跨径和临时</w:t>
      </w:r>
      <w:proofErr w:type="gramStart"/>
      <w:r>
        <w:rPr>
          <w:rFonts w:ascii="宋体" w:eastAsia="宋体" w:hAnsi="宋体" w:cs="宋体" w:hint="eastAsia"/>
          <w:i/>
          <w:color w:val="00B050"/>
          <w:sz w:val="24"/>
          <w:szCs w:val="24"/>
        </w:rPr>
        <w:t>墩</w:t>
      </w:r>
      <w:proofErr w:type="gramEnd"/>
      <w:r>
        <w:rPr>
          <w:rFonts w:ascii="宋体" w:eastAsia="宋体" w:hAnsi="宋体" w:cs="宋体" w:hint="eastAsia"/>
          <w:i/>
          <w:color w:val="00B050"/>
          <w:sz w:val="24"/>
          <w:szCs w:val="24"/>
        </w:rPr>
        <w:t>设置时，应综合考虑现场条件、结构受力和整体经济性，选择较优方案。</w:t>
      </w:r>
    </w:p>
    <w:p w:rsidR="00BA6061" w:rsidRDefault="00610DB9">
      <w:pPr>
        <w:pStyle w:val="ad"/>
        <w:numPr>
          <w:ilvl w:val="2"/>
          <w:numId w:val="4"/>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步履式顶推施工</w:t>
      </w:r>
      <w:proofErr w:type="gramStart"/>
      <w:r>
        <w:rPr>
          <w:rFonts w:ascii="宋体" w:eastAsia="宋体" w:hAnsi="宋体" w:cs="宋体" w:hint="eastAsia"/>
          <w:sz w:val="24"/>
          <w:szCs w:val="24"/>
        </w:rPr>
        <w:t>工</w:t>
      </w:r>
      <w:proofErr w:type="gramEnd"/>
      <w:r>
        <w:rPr>
          <w:rFonts w:ascii="宋体" w:eastAsia="宋体" w:hAnsi="宋体" w:cs="宋体" w:hint="eastAsia"/>
          <w:sz w:val="24"/>
          <w:szCs w:val="24"/>
        </w:rPr>
        <w:t>法宜采用多点顶推方式。</w:t>
      </w:r>
    </w:p>
    <w:p w:rsidR="00BA6061" w:rsidRDefault="00610DB9">
      <w:pPr>
        <w:pStyle w:val="ad"/>
        <w:numPr>
          <w:ilvl w:val="2"/>
          <w:numId w:val="4"/>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步履式顶推施工结构的宜底面齐平，纵坡不宜大于3.5%。</w:t>
      </w:r>
    </w:p>
    <w:p w:rsidR="00BA6061" w:rsidRDefault="00610DB9">
      <w:pPr>
        <w:pStyle w:val="ad"/>
        <w:numPr>
          <w:ilvl w:val="2"/>
          <w:numId w:val="4"/>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步履式顶推施工桥梁结构的平面及纵断面线形宜为直线或圆曲线。</w:t>
      </w:r>
    </w:p>
    <w:p w:rsidR="00BA6061" w:rsidRDefault="00610DB9">
      <w:pPr>
        <w:pStyle w:val="ad"/>
        <w:numPr>
          <w:ilvl w:val="2"/>
          <w:numId w:val="4"/>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步履式顶推施工桥梁结构根据受力需要可设置前导梁或后导梁，多联桥梁宜串联成整体一并顶推。</w:t>
      </w:r>
    </w:p>
    <w:p w:rsidR="00BA6061" w:rsidRDefault="00610DB9">
      <w:pPr>
        <w:pStyle w:val="ad"/>
        <w:numPr>
          <w:ilvl w:val="2"/>
          <w:numId w:val="4"/>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同步</w:t>
      </w:r>
      <w:r>
        <w:rPr>
          <w:rFonts w:ascii="宋体" w:eastAsia="宋体" w:hAnsi="宋体" w:cs="宋体"/>
          <w:sz w:val="24"/>
          <w:szCs w:val="24"/>
        </w:rPr>
        <w:t>施工流程设计应明确拼装顺序、提升/滑移</w:t>
      </w:r>
      <w:r>
        <w:rPr>
          <w:rFonts w:ascii="宋体" w:eastAsia="宋体" w:hAnsi="宋体" w:cs="宋体" w:hint="eastAsia"/>
          <w:sz w:val="24"/>
          <w:szCs w:val="24"/>
        </w:rPr>
        <w:t>/</w:t>
      </w:r>
      <w:r>
        <w:rPr>
          <w:rFonts w:ascii="宋体" w:eastAsia="宋体" w:hAnsi="宋体" w:cs="宋体"/>
          <w:sz w:val="24"/>
          <w:szCs w:val="24"/>
        </w:rPr>
        <w:t>顶推、支承转换、</w:t>
      </w:r>
      <w:r>
        <w:rPr>
          <w:rFonts w:ascii="宋体" w:eastAsia="宋体" w:hAnsi="宋体" w:cs="宋体" w:hint="eastAsia"/>
          <w:sz w:val="24"/>
          <w:szCs w:val="24"/>
        </w:rPr>
        <w:t>合龙</w:t>
      </w:r>
      <w:r>
        <w:rPr>
          <w:rFonts w:ascii="宋体" w:eastAsia="宋体" w:hAnsi="宋体" w:cs="宋体"/>
          <w:sz w:val="24"/>
          <w:szCs w:val="24"/>
        </w:rPr>
        <w:t>等关键工序。</w:t>
      </w:r>
    </w:p>
    <w:bookmarkEnd w:id="39"/>
    <w:p w:rsidR="00BA6061" w:rsidRDefault="00BA6061">
      <w:pPr>
        <w:ind w:firstLineChars="200" w:firstLine="643"/>
        <w:rPr>
          <w:rFonts w:ascii="仿宋" w:eastAsia="仿宋" w:hAnsi="仿宋" w:cs="Times New Roman"/>
          <w:b/>
          <w:bCs/>
          <w:sz w:val="32"/>
          <w:szCs w:val="32"/>
        </w:rPr>
      </w:pPr>
    </w:p>
    <w:p w:rsidR="00BA6061" w:rsidRDefault="00610DB9" w:rsidP="00BF12E9">
      <w:pPr>
        <w:pStyle w:val="1"/>
        <w:keepNext w:val="0"/>
        <w:keepLines w:val="0"/>
        <w:spacing w:before="312" w:after="312"/>
      </w:pPr>
      <w:r>
        <w:rPr>
          <w:rFonts w:hint="eastAsia"/>
        </w:rPr>
        <w:t xml:space="preserve">  </w:t>
      </w:r>
      <w:bookmarkStart w:id="45" w:name="_Toc224026604"/>
      <w:r>
        <w:rPr>
          <w:rFonts w:hint="eastAsia"/>
        </w:rPr>
        <w:t>同步提升结构设计</w:t>
      </w:r>
      <w:bookmarkEnd w:id="45"/>
    </w:p>
    <w:p w:rsidR="00BA6061" w:rsidRDefault="00610DB9">
      <w:pPr>
        <w:pStyle w:val="2"/>
        <w:keepNext w:val="0"/>
        <w:keepLines w:val="0"/>
        <w:numPr>
          <w:ilvl w:val="1"/>
          <w:numId w:val="1"/>
        </w:numPr>
        <w:spacing w:before="312" w:after="312" w:line="360" w:lineRule="auto"/>
        <w:ind w:left="0" w:firstLine="560"/>
        <w:jc w:val="center"/>
        <w:rPr>
          <w:rFonts w:ascii="黑体" w:hAnsi="黑体" w:cs="黑体"/>
          <w:b w:val="0"/>
          <w:sz w:val="28"/>
          <w:szCs w:val="28"/>
        </w:rPr>
      </w:pPr>
      <w:bookmarkStart w:id="46" w:name="_Toc223533688"/>
      <w:bookmarkStart w:id="47" w:name="_Toc224026605"/>
      <w:r>
        <w:rPr>
          <w:rFonts w:ascii="黑体" w:hAnsi="黑体" w:cs="黑体" w:hint="eastAsia"/>
          <w:b w:val="0"/>
          <w:sz w:val="28"/>
          <w:szCs w:val="28"/>
        </w:rPr>
        <w:t>主体结构设计</w:t>
      </w:r>
      <w:bookmarkEnd w:id="46"/>
      <w:bookmarkEnd w:id="47"/>
    </w:p>
    <w:p w:rsidR="00BA6061" w:rsidRDefault="00BA6061">
      <w:pPr>
        <w:pStyle w:val="ad"/>
        <w:numPr>
          <w:ilvl w:val="0"/>
          <w:numId w:val="3"/>
        </w:numPr>
        <w:spacing w:line="360" w:lineRule="auto"/>
        <w:ind w:firstLineChars="0"/>
        <w:jc w:val="left"/>
        <w:rPr>
          <w:rFonts w:ascii="宋体" w:eastAsia="宋体" w:hAnsi="宋体" w:cs="宋体"/>
          <w:vanish/>
          <w:sz w:val="24"/>
          <w:szCs w:val="24"/>
        </w:rPr>
      </w:pPr>
    </w:p>
    <w:p w:rsidR="00BA6061" w:rsidRDefault="00BA6061">
      <w:pPr>
        <w:pStyle w:val="ad"/>
        <w:numPr>
          <w:ilvl w:val="1"/>
          <w:numId w:val="3"/>
        </w:numPr>
        <w:spacing w:line="360" w:lineRule="auto"/>
        <w:ind w:firstLineChars="0"/>
        <w:jc w:val="left"/>
        <w:rPr>
          <w:rFonts w:ascii="宋体" w:eastAsia="宋体" w:hAnsi="宋体" w:cs="宋体"/>
          <w:vanish/>
          <w:sz w:val="24"/>
          <w:szCs w:val="24"/>
        </w:rPr>
      </w:pPr>
    </w:p>
    <w:p w:rsidR="00BA6061" w:rsidRDefault="00BA6061">
      <w:pPr>
        <w:pStyle w:val="ad"/>
        <w:numPr>
          <w:ilvl w:val="1"/>
          <w:numId w:val="3"/>
        </w:numPr>
        <w:spacing w:line="360" w:lineRule="auto"/>
        <w:ind w:firstLineChars="0"/>
        <w:jc w:val="left"/>
        <w:rPr>
          <w:rFonts w:ascii="宋体" w:eastAsia="宋体" w:hAnsi="宋体" w:cs="宋体"/>
          <w:vanish/>
          <w:sz w:val="24"/>
          <w:szCs w:val="24"/>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提升吊</w:t>
      </w:r>
      <w:proofErr w:type="gramStart"/>
      <w:r>
        <w:rPr>
          <w:rFonts w:ascii="宋体" w:eastAsia="宋体" w:hAnsi="宋体" w:cs="宋体" w:hint="eastAsia"/>
          <w:sz w:val="24"/>
          <w:szCs w:val="24"/>
        </w:rPr>
        <w:t>点结构</w:t>
      </w:r>
      <w:proofErr w:type="gramEnd"/>
      <w:r>
        <w:rPr>
          <w:rFonts w:ascii="宋体" w:eastAsia="宋体" w:hAnsi="宋体" w:cs="宋体" w:hint="eastAsia"/>
          <w:sz w:val="24"/>
          <w:szCs w:val="24"/>
        </w:rPr>
        <w:t>构造设计应确保结构受力合理，</w:t>
      </w:r>
      <w:proofErr w:type="gramStart"/>
      <w:r>
        <w:rPr>
          <w:rFonts w:ascii="宋体" w:eastAsia="宋体" w:hAnsi="宋体" w:cs="宋体" w:hint="eastAsia"/>
          <w:sz w:val="24"/>
          <w:szCs w:val="24"/>
        </w:rPr>
        <w:t>传力直接</w:t>
      </w:r>
      <w:proofErr w:type="gramEnd"/>
      <w:r>
        <w:rPr>
          <w:rFonts w:ascii="宋体" w:eastAsia="宋体" w:hAnsi="宋体" w:cs="宋体" w:hint="eastAsia"/>
          <w:sz w:val="24"/>
          <w:szCs w:val="24"/>
        </w:rPr>
        <w:t>，并应避免偏心受力构造。</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条文说明：在整体提升施工中，结构</w:t>
      </w:r>
      <w:proofErr w:type="gramStart"/>
      <w:r>
        <w:rPr>
          <w:rFonts w:ascii="宋体" w:eastAsia="宋体" w:hAnsi="宋体" w:cs="宋体" w:hint="eastAsia"/>
          <w:i/>
          <w:color w:val="00B050"/>
          <w:sz w:val="24"/>
          <w:szCs w:val="24"/>
        </w:rPr>
        <w:t>及吊点</w:t>
      </w:r>
      <w:proofErr w:type="gramEnd"/>
      <w:r>
        <w:rPr>
          <w:rFonts w:ascii="宋体" w:eastAsia="宋体" w:hAnsi="宋体" w:cs="宋体" w:hint="eastAsia"/>
          <w:i/>
          <w:color w:val="00B050"/>
          <w:sz w:val="24"/>
          <w:szCs w:val="24"/>
        </w:rPr>
        <w:t>的构造设计是</w:t>
      </w:r>
      <w:proofErr w:type="gramStart"/>
      <w:r>
        <w:rPr>
          <w:rFonts w:ascii="宋体" w:eastAsia="宋体" w:hAnsi="宋体" w:cs="宋体" w:hint="eastAsia"/>
          <w:i/>
          <w:color w:val="00B050"/>
          <w:sz w:val="24"/>
          <w:szCs w:val="24"/>
        </w:rPr>
        <w:t>确保力流清晰</w:t>
      </w:r>
      <w:proofErr w:type="gramEnd"/>
      <w:r>
        <w:rPr>
          <w:rFonts w:ascii="宋体" w:eastAsia="宋体" w:hAnsi="宋体" w:cs="宋体" w:hint="eastAsia"/>
          <w:i/>
          <w:color w:val="00B050"/>
          <w:sz w:val="24"/>
          <w:szCs w:val="24"/>
        </w:rPr>
        <w:t>、安全可控的基础。要求“结构受力合理，传力直接”，核心在于设计需使巨大的提升力沿明确、简短的路径传递至被提升结构，避免出现复杂的次生弯矩或应力集中，从而减少不可预见的变形与潜在风险。</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其中，“提升吊点设计应避免偏心受力构造”是此项要求的关键体现。提升吊点是临时结构与被提升永久结构之间的核心受力接口。若该处的构造设计会导致提升力的偏心，将引入附加弯矩，导致局部应力急剧增大，极易引发吊点区域破坏。因此，吊点必须通过精心的构造设计（如设置对称加劲肋、采用对中承压板、使提升索具轴线与结构受力中心线重合等），实现力的对中、直接传递，确保在反复和巨大的提升荷载作用下，连接绝对可靠，变形与内力处于设计预期范围内。</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提升吊点的加强结构宜与永久结构同步设计，应保证吊点区域具备承受高集中荷载的能力，并方便安装与拆除。</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条文说明：本条强调提升吊点的设计必须融入永久结构的整体设计流程，实现“临时与永久结合”。其核心在于，吊点的加强措施不应作为事后补救，而需在结构设计阶段就同步规划，确保</w:t>
      </w:r>
      <w:proofErr w:type="gramStart"/>
      <w:r>
        <w:rPr>
          <w:rFonts w:ascii="宋体" w:eastAsia="宋体" w:hAnsi="宋体" w:cs="宋体" w:hint="eastAsia"/>
          <w:i/>
          <w:color w:val="00B050"/>
          <w:sz w:val="24"/>
          <w:szCs w:val="24"/>
        </w:rPr>
        <w:t>其传力路径</w:t>
      </w:r>
      <w:proofErr w:type="gramEnd"/>
      <w:r>
        <w:rPr>
          <w:rFonts w:ascii="宋体" w:eastAsia="宋体" w:hAnsi="宋体" w:cs="宋体" w:hint="eastAsia"/>
          <w:i/>
          <w:color w:val="00B050"/>
          <w:sz w:val="24"/>
          <w:szCs w:val="24"/>
        </w:rPr>
        <w:t>与主体结构协调，避免对永久性能造成损害。重点需保证吊点区域的局部受力性能，通过精确计算与针对性加强（如设置加劲肋、局部加大截面等），以承受提升过程中的高集中荷载，并具备足够的安全储备。同时，加强结构的构造应兼顾施工便利性，便于现场精准安装与后期高效拆除，力求在满足提升安全的前提下，最大程度减少对永久结构的损伤与影响，实现安全、经济、高效的综合目标。</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提升吊点附近的主体结构应根据受力要求予以加强。</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提升点是施工过程中结构的集中受力点，提升设备的拉力会在此处产生局部应力集中，同时提升过程中结构的约束条件、荷载分布与成型后正常使用工况存在差异，易出现局部变形过大、内力超限等问题，因此应予以加强。</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拱肋整体提升施工时，临时对拉</w:t>
      </w:r>
      <w:proofErr w:type="gramStart"/>
      <w:r>
        <w:rPr>
          <w:rFonts w:ascii="宋体" w:eastAsia="宋体" w:hAnsi="宋体" w:cs="宋体" w:hint="eastAsia"/>
          <w:sz w:val="24"/>
          <w:szCs w:val="24"/>
        </w:rPr>
        <w:t>系杆索锚固</w:t>
      </w:r>
      <w:proofErr w:type="gramEnd"/>
      <w:r>
        <w:rPr>
          <w:rFonts w:ascii="宋体" w:eastAsia="宋体" w:hAnsi="宋体" w:cs="宋体" w:hint="eastAsia"/>
          <w:sz w:val="24"/>
          <w:szCs w:val="24"/>
        </w:rPr>
        <w:t>处的拱肋结构应根据受力要求予以加强。</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条文说明：拱桥拱肋在整体提升施工时，需在被提升段拱肋端部设置临时对拉系杆索，该临时对拉</w:t>
      </w:r>
      <w:proofErr w:type="gramStart"/>
      <w:r>
        <w:rPr>
          <w:rFonts w:ascii="宋体" w:eastAsia="宋体" w:hAnsi="宋体" w:cs="宋体" w:hint="eastAsia"/>
          <w:i/>
          <w:color w:val="00B050"/>
          <w:sz w:val="24"/>
          <w:szCs w:val="24"/>
        </w:rPr>
        <w:t>系杆索是</w:t>
      </w:r>
      <w:proofErr w:type="gramEnd"/>
      <w:r>
        <w:rPr>
          <w:rFonts w:ascii="宋体" w:eastAsia="宋体" w:hAnsi="宋体" w:cs="宋体" w:hint="eastAsia"/>
          <w:i/>
          <w:color w:val="00B050"/>
          <w:sz w:val="24"/>
          <w:szCs w:val="24"/>
        </w:rPr>
        <w:t>确保被提升段拱肋保持</w:t>
      </w:r>
      <w:proofErr w:type="gramStart"/>
      <w:r>
        <w:rPr>
          <w:rFonts w:ascii="宋体" w:eastAsia="宋体" w:hAnsi="宋体" w:cs="宋体" w:hint="eastAsia"/>
          <w:i/>
          <w:color w:val="00B050"/>
          <w:sz w:val="24"/>
          <w:szCs w:val="24"/>
        </w:rPr>
        <w:t>拱合理</w:t>
      </w:r>
      <w:proofErr w:type="gramEnd"/>
      <w:r>
        <w:rPr>
          <w:rFonts w:ascii="宋体" w:eastAsia="宋体" w:hAnsi="宋体" w:cs="宋体" w:hint="eastAsia"/>
          <w:i/>
          <w:color w:val="00B050"/>
          <w:sz w:val="24"/>
          <w:szCs w:val="24"/>
        </w:rPr>
        <w:t>受力模式的关键临时措施。本条旨在确保临时对拉</w:t>
      </w:r>
      <w:proofErr w:type="gramStart"/>
      <w:r>
        <w:rPr>
          <w:rFonts w:ascii="宋体" w:eastAsia="宋体" w:hAnsi="宋体" w:cs="宋体" w:hint="eastAsia"/>
          <w:i/>
          <w:color w:val="00B050"/>
          <w:sz w:val="24"/>
          <w:szCs w:val="24"/>
        </w:rPr>
        <w:t>系杆索锚固</w:t>
      </w:r>
      <w:proofErr w:type="gramEnd"/>
      <w:r>
        <w:rPr>
          <w:rFonts w:ascii="宋体" w:eastAsia="宋体" w:hAnsi="宋体" w:cs="宋体" w:hint="eastAsia"/>
          <w:i/>
          <w:color w:val="00B050"/>
          <w:sz w:val="24"/>
          <w:szCs w:val="24"/>
        </w:rPr>
        <w:t>处的局部安全与整体稳定。临时对拉</w:t>
      </w:r>
      <w:proofErr w:type="gramStart"/>
      <w:r>
        <w:rPr>
          <w:rFonts w:ascii="宋体" w:eastAsia="宋体" w:hAnsi="宋体" w:cs="宋体" w:hint="eastAsia"/>
          <w:i/>
          <w:color w:val="00B050"/>
          <w:sz w:val="24"/>
          <w:szCs w:val="24"/>
        </w:rPr>
        <w:t>系杆索锚固</w:t>
      </w:r>
      <w:proofErr w:type="gramEnd"/>
      <w:r>
        <w:rPr>
          <w:rFonts w:ascii="宋体" w:eastAsia="宋体" w:hAnsi="宋体" w:cs="宋体" w:hint="eastAsia"/>
          <w:i/>
          <w:color w:val="00B050"/>
          <w:sz w:val="24"/>
          <w:szCs w:val="24"/>
        </w:rPr>
        <w:t>处承受巨大且集中的索力，属于施工期的关键受力点。若未进行专项加强，该区域极易因局部应力超限而发生钢板屈曲、焊缝开裂或混凝土压溃等破坏，进而威胁施工安全及结构成形精度。</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构造要求指在锚固位置</w:t>
      </w:r>
      <w:proofErr w:type="gramStart"/>
      <w:r>
        <w:rPr>
          <w:rFonts w:ascii="宋体" w:eastAsia="宋体" w:hAnsi="宋体" w:cs="宋体" w:hint="eastAsia"/>
          <w:i/>
          <w:color w:val="00B050"/>
          <w:sz w:val="24"/>
          <w:szCs w:val="24"/>
        </w:rPr>
        <w:t>须设置</w:t>
      </w:r>
      <w:proofErr w:type="gramEnd"/>
      <w:r>
        <w:rPr>
          <w:rFonts w:ascii="宋体" w:eastAsia="宋体" w:hAnsi="宋体" w:cs="宋体" w:hint="eastAsia"/>
          <w:i/>
          <w:color w:val="00B050"/>
          <w:sz w:val="24"/>
          <w:szCs w:val="24"/>
        </w:rPr>
        <w:t>可靠</w:t>
      </w:r>
      <w:proofErr w:type="gramStart"/>
      <w:r>
        <w:rPr>
          <w:rFonts w:ascii="宋体" w:eastAsia="宋体" w:hAnsi="宋体" w:cs="宋体" w:hint="eastAsia"/>
          <w:i/>
          <w:color w:val="00B050"/>
          <w:sz w:val="24"/>
          <w:szCs w:val="24"/>
        </w:rPr>
        <w:t>的传力构造</w:t>
      </w:r>
      <w:proofErr w:type="gramEnd"/>
      <w:r>
        <w:rPr>
          <w:rFonts w:ascii="宋体" w:eastAsia="宋体" w:hAnsi="宋体" w:cs="宋体" w:hint="eastAsia"/>
          <w:i/>
          <w:color w:val="00B050"/>
          <w:sz w:val="24"/>
          <w:szCs w:val="24"/>
        </w:rPr>
        <w:t>，如焊接加劲肋、设置</w:t>
      </w:r>
      <w:proofErr w:type="gramStart"/>
      <w:r>
        <w:rPr>
          <w:rFonts w:ascii="宋体" w:eastAsia="宋体" w:hAnsi="宋体" w:cs="宋体" w:hint="eastAsia"/>
          <w:i/>
          <w:color w:val="00B050"/>
          <w:sz w:val="24"/>
          <w:szCs w:val="24"/>
        </w:rPr>
        <w:t>锚</w:t>
      </w:r>
      <w:proofErr w:type="gramEnd"/>
      <w:r>
        <w:rPr>
          <w:rFonts w:ascii="宋体" w:eastAsia="宋体" w:hAnsi="宋体" w:cs="宋体" w:hint="eastAsia"/>
          <w:i/>
          <w:color w:val="00B050"/>
          <w:sz w:val="24"/>
          <w:szCs w:val="24"/>
        </w:rPr>
        <w:t>垫板或局部增大截面等，以扩散集中力，优化应力分布，并与拱肋主体结构牢固连接。</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计算要求则强调必须进行严格的局部受力验算，包括局部承压、</w:t>
      </w:r>
      <w:proofErr w:type="gramStart"/>
      <w:r>
        <w:rPr>
          <w:rFonts w:ascii="宋体" w:eastAsia="宋体" w:hAnsi="宋体" w:cs="宋体" w:hint="eastAsia"/>
          <w:i/>
          <w:color w:val="00B050"/>
          <w:sz w:val="24"/>
          <w:szCs w:val="24"/>
        </w:rPr>
        <w:t>抗剪等</w:t>
      </w:r>
      <w:proofErr w:type="gramEnd"/>
      <w:r>
        <w:rPr>
          <w:rFonts w:ascii="宋体" w:eastAsia="宋体" w:hAnsi="宋体" w:cs="宋体" w:hint="eastAsia"/>
          <w:i/>
          <w:color w:val="00B050"/>
          <w:sz w:val="24"/>
          <w:szCs w:val="24"/>
        </w:rPr>
        <w:t>，确保加强措施具备明确的计算依据与足够的安全储备。</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提升吊点与混凝土结构连接时宜采用预埋式构造，提升吊点与钢结构连接宜在工厂完成。</w:t>
      </w:r>
    </w:p>
    <w:p w:rsidR="00BA6061" w:rsidRDefault="00610DB9">
      <w:pPr>
        <w:tabs>
          <w:tab w:val="left" w:pos="284"/>
        </w:tabs>
        <w:spacing w:line="360" w:lineRule="auto"/>
        <w:ind w:firstLineChars="200" w:firstLine="480"/>
        <w:jc w:val="left"/>
        <w:rPr>
          <w:rFonts w:ascii="宋体" w:eastAsia="宋体" w:hAnsi="宋体" w:cs="宋体"/>
          <w:sz w:val="24"/>
          <w:szCs w:val="24"/>
        </w:rPr>
      </w:pPr>
      <w:r>
        <w:rPr>
          <w:rFonts w:ascii="宋体" w:eastAsia="宋体" w:hAnsi="宋体" w:cs="宋体" w:hint="eastAsia"/>
          <w:i/>
          <w:color w:val="00B050"/>
          <w:sz w:val="24"/>
          <w:szCs w:val="24"/>
        </w:rPr>
        <w:t>条文说明：提升吊点单点受力大，通过预埋式构造增强吊点与主体结构的整体性，保障提升力传递直接、可靠。对于混凝土被提升结构减少后锚固工艺对主体结构的损伤，对于钢结构被提升结构减少现场施</w:t>
      </w:r>
      <w:proofErr w:type="gramStart"/>
      <w:r>
        <w:rPr>
          <w:rFonts w:ascii="宋体" w:eastAsia="宋体" w:hAnsi="宋体" w:cs="宋体" w:hint="eastAsia"/>
          <w:i/>
          <w:color w:val="00B050"/>
          <w:sz w:val="24"/>
          <w:szCs w:val="24"/>
        </w:rPr>
        <w:t>焊保证</w:t>
      </w:r>
      <w:proofErr w:type="gramEnd"/>
      <w:r>
        <w:rPr>
          <w:rFonts w:ascii="宋体" w:eastAsia="宋体" w:hAnsi="宋体" w:cs="宋体" w:hint="eastAsia"/>
          <w:i/>
          <w:color w:val="00B050"/>
          <w:sz w:val="24"/>
          <w:szCs w:val="24"/>
        </w:rPr>
        <w:t>焊缝的可靠性。</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大型结构</w:t>
      </w:r>
      <w:r w:rsidRPr="00AF7005">
        <w:rPr>
          <w:rFonts w:ascii="宋体" w:eastAsia="宋体" w:hAnsi="宋体" w:cs="宋体" w:hint="eastAsia"/>
          <w:sz w:val="24"/>
          <w:szCs w:val="24"/>
        </w:rPr>
        <w:t>同步提升时宜在对接端头设置嵌补段。</w:t>
      </w:r>
    </w:p>
    <w:p w:rsidR="00BA6061" w:rsidRDefault="00610DB9">
      <w:pPr>
        <w:tabs>
          <w:tab w:val="left" w:pos="284"/>
        </w:tabs>
        <w:spacing w:line="360" w:lineRule="auto"/>
        <w:ind w:firstLineChars="200"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条文说明：大跨度结构在提升过程中，受自重、提升不同步等因素影响，端头易产生挠曲变形、水平偏移或转角偏差，直接对接会出现间隙过大、错边超标、强行对位导致的附加内力等问题。</w:t>
      </w:r>
    </w:p>
    <w:p w:rsidR="00BA6061" w:rsidRDefault="00610DB9">
      <w:pPr>
        <w:tabs>
          <w:tab w:val="left" w:pos="284"/>
        </w:tabs>
        <w:spacing w:line="360" w:lineRule="auto"/>
        <w:ind w:firstLineChars="200" w:firstLine="480"/>
        <w:jc w:val="left"/>
        <w:rPr>
          <w:rFonts w:ascii="宋体" w:eastAsia="宋体" w:hAnsi="宋体" w:cs="宋体"/>
          <w:i/>
          <w:color w:val="00B050"/>
          <w:sz w:val="24"/>
          <w:szCs w:val="24"/>
        </w:rPr>
      </w:pPr>
      <w:proofErr w:type="gramStart"/>
      <w:r>
        <w:rPr>
          <w:rFonts w:ascii="宋体" w:eastAsia="宋体" w:hAnsi="宋体" w:cs="宋体" w:hint="eastAsia"/>
          <w:i/>
          <w:color w:val="00B050"/>
          <w:sz w:val="24"/>
          <w:szCs w:val="24"/>
        </w:rPr>
        <w:t>嵌补段的</w:t>
      </w:r>
      <w:proofErr w:type="gramEnd"/>
      <w:r>
        <w:rPr>
          <w:rFonts w:ascii="宋体" w:eastAsia="宋体" w:hAnsi="宋体" w:cs="宋体" w:hint="eastAsia"/>
          <w:i/>
          <w:color w:val="00B050"/>
          <w:sz w:val="24"/>
          <w:szCs w:val="24"/>
        </w:rPr>
        <w:t>长度可灵活调整，适配提升就位后对接端头的间隙与错边量，保证对接</w:t>
      </w:r>
      <w:proofErr w:type="gramStart"/>
      <w:r>
        <w:rPr>
          <w:rFonts w:ascii="宋体" w:eastAsia="宋体" w:hAnsi="宋体" w:cs="宋体" w:hint="eastAsia"/>
          <w:i/>
          <w:color w:val="00B050"/>
          <w:sz w:val="24"/>
          <w:szCs w:val="24"/>
        </w:rPr>
        <w:t>接头传力路径</w:t>
      </w:r>
      <w:proofErr w:type="gramEnd"/>
      <w:r>
        <w:rPr>
          <w:rFonts w:ascii="宋体" w:eastAsia="宋体" w:hAnsi="宋体" w:cs="宋体" w:hint="eastAsia"/>
          <w:i/>
          <w:color w:val="00B050"/>
          <w:sz w:val="24"/>
          <w:szCs w:val="24"/>
        </w:rPr>
        <w:t>平滑连续，避免对使用阶段造成不利影响。</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bookmarkStart w:id="48" w:name="OLE_LINK14"/>
      <w:bookmarkStart w:id="49" w:name="OLE_LINK13"/>
      <w:r>
        <w:rPr>
          <w:rFonts w:ascii="宋体" w:eastAsia="宋体" w:hAnsi="宋体" w:cs="宋体" w:hint="eastAsia"/>
          <w:sz w:val="24"/>
          <w:szCs w:val="24"/>
        </w:rPr>
        <w:t>主体结构预拱度的设置应计入同步提升施工过程的影响。</w:t>
      </w:r>
      <w:bookmarkEnd w:id="48"/>
      <w:bookmarkEnd w:id="49"/>
    </w:p>
    <w:p w:rsidR="00BA6061" w:rsidRDefault="00610DB9">
      <w:pPr>
        <w:tabs>
          <w:tab w:val="left" w:pos="284"/>
        </w:tabs>
        <w:spacing w:line="360" w:lineRule="auto"/>
        <w:ind w:firstLineChars="200"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条文说明：合理设置预拱度是确保结构成形后线形符合设计要求、避免过度下垂或开裂的关键措施。在计算预拱度时，应参照实际施工步骤，精确模拟整体提升过程对主体结构的影响，确保实施线形。</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当提升支架及低位拼装支架布置于主体结构时，应结合支架布置和提升方案验算主体结构受力状态，并补充相关局部受力构造措施。</w:t>
      </w:r>
    </w:p>
    <w:p w:rsidR="00BA6061" w:rsidRDefault="00610DB9">
      <w:pPr>
        <w:tabs>
          <w:tab w:val="left" w:pos="284"/>
        </w:tabs>
        <w:spacing w:line="360" w:lineRule="auto"/>
        <w:ind w:firstLineChars="200"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当临时塔架及低位拼装支架布置于未被提升主体结构上时，临时塔架、低位拼装支架自重、被提升主体结构自重、不同步效应荷载及各种施工机具的重量均由未被提升主体结构承担或通过其传递至下部临时支架。当由未被提升主体结构承担时，应结合其支承构造核实结构受力及变形，确保结构安全，同时，对于临时塔架、低位拼装支架与主体结构接触点，应核实其局部受力，补充相关局部承压构件或加劲，确保局部受力满足要求；当通过主体结构传递至下部支架基础时，应在主梁内部增设相关构造措施，</w:t>
      </w:r>
      <w:proofErr w:type="gramStart"/>
      <w:r>
        <w:rPr>
          <w:rFonts w:ascii="宋体" w:eastAsia="宋体" w:hAnsi="宋体" w:cs="宋体" w:hint="eastAsia"/>
          <w:i/>
          <w:color w:val="00B050"/>
          <w:sz w:val="24"/>
          <w:szCs w:val="24"/>
        </w:rPr>
        <w:t>确保传力平顺</w:t>
      </w:r>
      <w:proofErr w:type="gramEnd"/>
      <w:r>
        <w:rPr>
          <w:rFonts w:ascii="宋体" w:eastAsia="宋体" w:hAnsi="宋体" w:cs="宋体" w:hint="eastAsia"/>
          <w:i/>
          <w:color w:val="00B050"/>
          <w:sz w:val="24"/>
          <w:szCs w:val="24"/>
        </w:rPr>
        <w:t>。</w:t>
      </w:r>
    </w:p>
    <w:p w:rsidR="00BA6061" w:rsidRDefault="00610DB9">
      <w:pPr>
        <w:pStyle w:val="2"/>
        <w:keepNext w:val="0"/>
        <w:keepLines w:val="0"/>
        <w:numPr>
          <w:ilvl w:val="1"/>
          <w:numId w:val="1"/>
        </w:numPr>
        <w:spacing w:before="312" w:after="312" w:line="360" w:lineRule="auto"/>
        <w:ind w:left="0" w:firstLine="560"/>
        <w:jc w:val="center"/>
        <w:rPr>
          <w:rFonts w:ascii="黑体" w:hAnsi="黑体" w:cs="黑体"/>
          <w:b w:val="0"/>
          <w:sz w:val="28"/>
          <w:szCs w:val="28"/>
        </w:rPr>
      </w:pPr>
      <w:bookmarkStart w:id="50" w:name="_Toc223533689"/>
      <w:bookmarkStart w:id="51" w:name="_Toc224026606"/>
      <w:r>
        <w:rPr>
          <w:rFonts w:ascii="黑体" w:hAnsi="黑体" w:cs="黑体" w:hint="eastAsia"/>
          <w:b w:val="0"/>
          <w:sz w:val="28"/>
          <w:szCs w:val="28"/>
        </w:rPr>
        <w:t>临时结构设计</w:t>
      </w:r>
      <w:bookmarkEnd w:id="50"/>
      <w:bookmarkEnd w:id="51"/>
    </w:p>
    <w:p w:rsidR="00BA6061" w:rsidRDefault="00BA6061">
      <w:pPr>
        <w:pStyle w:val="ad"/>
        <w:numPr>
          <w:ilvl w:val="1"/>
          <w:numId w:val="3"/>
        </w:numPr>
        <w:spacing w:line="360" w:lineRule="auto"/>
        <w:ind w:firstLineChars="0"/>
        <w:jc w:val="left"/>
        <w:rPr>
          <w:rFonts w:ascii="宋体" w:eastAsia="宋体" w:hAnsi="宋体" w:cs="宋体"/>
          <w:vanish/>
          <w:sz w:val="24"/>
          <w:szCs w:val="24"/>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大型网架结构多点提升时，应设置若干组水平刚度较大的提升塔架抵抗水平力作用，并应进行群</w:t>
      </w:r>
      <w:proofErr w:type="gramStart"/>
      <w:r>
        <w:rPr>
          <w:rFonts w:ascii="宋体" w:eastAsia="宋体" w:hAnsi="宋体" w:cs="宋体" w:hint="eastAsia"/>
          <w:sz w:val="24"/>
          <w:szCs w:val="24"/>
        </w:rPr>
        <w:t>柱整体</w:t>
      </w:r>
      <w:proofErr w:type="gramEnd"/>
      <w:r>
        <w:rPr>
          <w:rFonts w:ascii="宋体" w:eastAsia="宋体" w:hAnsi="宋体" w:cs="宋体" w:hint="eastAsia"/>
          <w:sz w:val="24"/>
          <w:szCs w:val="24"/>
        </w:rPr>
        <w:t>稳定性验算。</w:t>
      </w:r>
    </w:p>
    <w:p w:rsidR="00BA6061" w:rsidRDefault="00610DB9">
      <w:pPr>
        <w:tabs>
          <w:tab w:val="left" w:pos="284"/>
        </w:tabs>
        <w:spacing w:line="360" w:lineRule="auto"/>
        <w:ind w:firstLineChars="200"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条文说明：大型网架结构多点提升时，水平力的来源复杂且不可忽视，若塔架水平刚度不足，会引发塔架倾斜、网架结构扭转等风险。</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临时提升支</w:t>
      </w:r>
      <w:r w:rsidRPr="00AF7005">
        <w:rPr>
          <w:rFonts w:ascii="宋体" w:eastAsia="宋体" w:hAnsi="宋体" w:cs="宋体" w:hint="eastAsia"/>
          <w:sz w:val="24"/>
          <w:szCs w:val="24"/>
        </w:rPr>
        <w:t>架宜采用塔架形式，且塔架基础应具有足够的抗拔能力。</w:t>
      </w:r>
    </w:p>
    <w:p w:rsidR="00BA6061" w:rsidRDefault="00610DB9">
      <w:pPr>
        <w:tabs>
          <w:tab w:val="left" w:pos="284"/>
        </w:tabs>
        <w:spacing w:line="360" w:lineRule="auto"/>
        <w:ind w:firstLineChars="200"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条文说明：独立于主体竖向结构的提升架不具备主体结构的侧向约束与抗拔依托，需</w:t>
      </w:r>
      <w:proofErr w:type="gramStart"/>
      <w:r>
        <w:rPr>
          <w:rFonts w:ascii="宋体" w:eastAsia="宋体" w:hAnsi="宋体" w:cs="宋体" w:hint="eastAsia"/>
          <w:i/>
          <w:color w:val="00B050"/>
          <w:sz w:val="24"/>
          <w:szCs w:val="24"/>
        </w:rPr>
        <w:t>采用格构式</w:t>
      </w:r>
      <w:proofErr w:type="gramEnd"/>
      <w:r>
        <w:rPr>
          <w:rFonts w:ascii="宋体" w:eastAsia="宋体" w:hAnsi="宋体" w:cs="宋体" w:hint="eastAsia"/>
          <w:i/>
          <w:color w:val="00B050"/>
          <w:sz w:val="24"/>
          <w:szCs w:val="24"/>
        </w:rPr>
        <w:t>塔架保障自身刚度与稳定性，同时塔架受水平力作用</w:t>
      </w:r>
      <w:proofErr w:type="gramStart"/>
      <w:r>
        <w:rPr>
          <w:rFonts w:ascii="宋体" w:eastAsia="宋体" w:hAnsi="宋体" w:cs="宋体" w:hint="eastAsia"/>
          <w:i/>
          <w:color w:val="00B050"/>
          <w:sz w:val="24"/>
          <w:szCs w:val="24"/>
        </w:rPr>
        <w:t>时柱肢</w:t>
      </w:r>
      <w:proofErr w:type="gramEnd"/>
      <w:r>
        <w:rPr>
          <w:rFonts w:ascii="宋体" w:eastAsia="宋体" w:hAnsi="宋体" w:cs="宋体" w:hint="eastAsia"/>
          <w:i/>
          <w:color w:val="00B050"/>
          <w:sz w:val="24"/>
          <w:szCs w:val="24"/>
        </w:rPr>
        <w:t>底部可能会出现拔力，故要求基础有相应的抗拔能力。</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提升钢绞线的最短自由工作长度须经过计算确定，并不得小于2.5m。</w:t>
      </w:r>
    </w:p>
    <w:p w:rsidR="00BA6061" w:rsidRDefault="00610DB9">
      <w:pPr>
        <w:tabs>
          <w:tab w:val="left" w:pos="284"/>
        </w:tabs>
        <w:spacing w:line="360" w:lineRule="auto"/>
        <w:ind w:firstLineChars="200"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条文说明：提升钢绞线的自由工作长度，指钢绞线在提升过程中，不受提升油缸夹具、导向装置约束，可自由伸缩变形的区段长度，范围为提升油缸上夹具至下夹具（或锚固端）之间的无约束段。</w:t>
      </w:r>
    </w:p>
    <w:p w:rsidR="00BA6061" w:rsidRDefault="00610DB9">
      <w:pPr>
        <w:tabs>
          <w:tab w:val="left" w:pos="284"/>
        </w:tabs>
        <w:spacing w:line="360" w:lineRule="auto"/>
        <w:ind w:firstLineChars="200"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钢绞线自由工作长度不小于 2.5m的最低限值要求，是为了保障钢绞线张拉、锚固的可靠性及提升系统的安全运行。同时可控制钢绞线偏心造成的水平荷载处于较低水平。</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拱肋整体提升时，应结合拱肋布置形式，在合理位置设置沿纵向的临时对拉</w:t>
      </w:r>
      <w:proofErr w:type="gramStart"/>
      <w:r>
        <w:rPr>
          <w:rFonts w:ascii="宋体" w:eastAsia="宋体" w:hAnsi="宋体" w:cs="宋体" w:hint="eastAsia"/>
          <w:sz w:val="24"/>
          <w:szCs w:val="24"/>
        </w:rPr>
        <w:t>系杆索抵抗</w:t>
      </w:r>
      <w:proofErr w:type="gramEnd"/>
      <w:r>
        <w:rPr>
          <w:rFonts w:ascii="宋体" w:eastAsia="宋体" w:hAnsi="宋体" w:cs="宋体" w:hint="eastAsia"/>
          <w:sz w:val="24"/>
          <w:szCs w:val="24"/>
        </w:rPr>
        <w:t>水平力，在吊点位置设置横向临时杆件确保横向稳定性。</w:t>
      </w:r>
    </w:p>
    <w:p w:rsidR="00BA6061" w:rsidRDefault="00610DB9">
      <w:pPr>
        <w:tabs>
          <w:tab w:val="left" w:pos="284"/>
        </w:tabs>
        <w:spacing w:line="360" w:lineRule="auto"/>
        <w:ind w:firstLineChars="200"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本条旨在明确拱桥拱肋中间段整体提升过程中，为保证结构姿态与内力可控所必须采取的临时构造措施。拱肋作为压弯构件，在脱离拼装支架后的提升状态下，其受力体系发生根本改变，成为由少数吊点支承的悬吊长细结构。</w:t>
      </w:r>
    </w:p>
    <w:p w:rsidR="00BA6061" w:rsidRDefault="00610DB9">
      <w:pPr>
        <w:tabs>
          <w:tab w:val="left" w:pos="284"/>
        </w:tabs>
        <w:spacing w:line="360" w:lineRule="auto"/>
        <w:ind w:firstLineChars="200"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设置沿纵向的临时对拉系杆索，主要是为了平衡由于拱肋曲线形状及倾斜角度所产生的水平分力。该水平力若不加以约束，会导致拱肋在提升过程中发生纵向水平位移或过大的附加弯矩，影响就位精度与结构安全。对拉索的布置位置与张拉力，需根据拱肋的具体线形、提升角度</w:t>
      </w:r>
      <w:proofErr w:type="gramStart"/>
      <w:r>
        <w:rPr>
          <w:rFonts w:ascii="宋体" w:eastAsia="宋体" w:hAnsi="宋体" w:cs="宋体" w:hint="eastAsia"/>
          <w:i/>
          <w:color w:val="00B050"/>
          <w:sz w:val="24"/>
          <w:szCs w:val="24"/>
        </w:rPr>
        <w:t>及吊点反</w:t>
      </w:r>
      <w:proofErr w:type="gramEnd"/>
      <w:r>
        <w:rPr>
          <w:rFonts w:ascii="宋体" w:eastAsia="宋体" w:hAnsi="宋体" w:cs="宋体" w:hint="eastAsia"/>
          <w:i/>
          <w:color w:val="00B050"/>
          <w:sz w:val="24"/>
          <w:szCs w:val="24"/>
        </w:rPr>
        <w:t>力进行计算确定，以有效抵消水平力并控制内力分布。</w:t>
      </w:r>
    </w:p>
    <w:p w:rsidR="00BA6061" w:rsidRDefault="00610DB9">
      <w:pPr>
        <w:tabs>
          <w:tab w:val="left" w:pos="284"/>
        </w:tabs>
        <w:spacing w:line="360" w:lineRule="auto"/>
        <w:ind w:firstLineChars="200"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在吊点位置设置横向临时杆件，则是为了增强拱肋截面的横向刚度</w:t>
      </w:r>
      <w:proofErr w:type="gramStart"/>
      <w:r>
        <w:rPr>
          <w:rFonts w:ascii="宋体" w:eastAsia="宋体" w:hAnsi="宋体" w:cs="宋体" w:hint="eastAsia"/>
          <w:i/>
          <w:color w:val="00B050"/>
          <w:sz w:val="24"/>
          <w:szCs w:val="24"/>
        </w:rPr>
        <w:t>与抗扭能力</w:t>
      </w:r>
      <w:proofErr w:type="gramEnd"/>
      <w:r>
        <w:rPr>
          <w:rFonts w:ascii="宋体" w:eastAsia="宋体" w:hAnsi="宋体" w:cs="宋体" w:hint="eastAsia"/>
          <w:i/>
          <w:color w:val="00B050"/>
          <w:sz w:val="24"/>
          <w:szCs w:val="24"/>
        </w:rPr>
        <w:t>。由于吊点处承受全部竖向</w:t>
      </w:r>
      <w:proofErr w:type="gramStart"/>
      <w:r>
        <w:rPr>
          <w:rFonts w:ascii="宋体" w:eastAsia="宋体" w:hAnsi="宋体" w:cs="宋体" w:hint="eastAsia"/>
          <w:i/>
          <w:color w:val="00B050"/>
          <w:sz w:val="24"/>
          <w:szCs w:val="24"/>
        </w:rPr>
        <w:t>提升力且通常</w:t>
      </w:r>
      <w:proofErr w:type="gramEnd"/>
      <w:r>
        <w:rPr>
          <w:rFonts w:ascii="宋体" w:eastAsia="宋体" w:hAnsi="宋体" w:cs="宋体" w:hint="eastAsia"/>
          <w:i/>
          <w:color w:val="00B050"/>
          <w:sz w:val="24"/>
          <w:szCs w:val="24"/>
        </w:rPr>
        <w:t>约束较弱，在风荷载或不对称荷载作用下易发生横向失稳或扭转。增设的横向连接（如临时</w:t>
      </w:r>
      <w:proofErr w:type="gramStart"/>
      <w:r>
        <w:rPr>
          <w:rFonts w:ascii="宋体" w:eastAsia="宋体" w:hAnsi="宋体" w:cs="宋体" w:hint="eastAsia"/>
          <w:i/>
          <w:color w:val="00B050"/>
          <w:sz w:val="24"/>
          <w:szCs w:val="24"/>
        </w:rPr>
        <w:t>风撑或</w:t>
      </w:r>
      <w:proofErr w:type="gramEnd"/>
      <w:r>
        <w:rPr>
          <w:rFonts w:ascii="宋体" w:eastAsia="宋体" w:hAnsi="宋体" w:cs="宋体" w:hint="eastAsia"/>
          <w:i/>
          <w:color w:val="00B050"/>
          <w:sz w:val="24"/>
          <w:szCs w:val="24"/>
        </w:rPr>
        <w:t>桁架）能将相邻拱肋或拱肋节段在横向连成整体，形成一个稳定的空间受力体系，确保提升过程的横向稳定性。</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临时对拉</w:t>
      </w:r>
      <w:proofErr w:type="gramStart"/>
      <w:r>
        <w:rPr>
          <w:rFonts w:ascii="宋体" w:eastAsia="宋体" w:hAnsi="宋体" w:cs="宋体" w:hint="eastAsia"/>
          <w:sz w:val="24"/>
          <w:szCs w:val="24"/>
        </w:rPr>
        <w:t>系杆索的</w:t>
      </w:r>
      <w:proofErr w:type="gramEnd"/>
      <w:r>
        <w:rPr>
          <w:rFonts w:ascii="宋体" w:eastAsia="宋体" w:hAnsi="宋体" w:cs="宋体" w:hint="eastAsia"/>
          <w:sz w:val="24"/>
          <w:szCs w:val="24"/>
        </w:rPr>
        <w:t>索力可根据提升状态下被提升拱肋在临时对拉</w:t>
      </w:r>
      <w:proofErr w:type="gramStart"/>
      <w:r>
        <w:rPr>
          <w:rFonts w:ascii="宋体" w:eastAsia="宋体" w:hAnsi="宋体" w:cs="宋体" w:hint="eastAsia"/>
          <w:sz w:val="24"/>
          <w:szCs w:val="24"/>
        </w:rPr>
        <w:t>系杆索锚固</w:t>
      </w:r>
      <w:proofErr w:type="gramEnd"/>
      <w:r>
        <w:rPr>
          <w:rFonts w:ascii="宋体" w:eastAsia="宋体" w:hAnsi="宋体" w:cs="宋体" w:hint="eastAsia"/>
          <w:sz w:val="24"/>
          <w:szCs w:val="24"/>
        </w:rPr>
        <w:t>位置的竖向转角变形为零的原则确定。</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提升钢</w:t>
      </w:r>
      <w:r w:rsidRPr="00AF7005">
        <w:rPr>
          <w:rFonts w:ascii="宋体" w:eastAsia="宋体" w:hAnsi="宋体" w:cs="宋体" w:hint="eastAsia"/>
          <w:sz w:val="24"/>
          <w:szCs w:val="24"/>
        </w:rPr>
        <w:t>绞线和临时对拉</w:t>
      </w:r>
      <w:proofErr w:type="gramStart"/>
      <w:r w:rsidRPr="00AF7005">
        <w:rPr>
          <w:rFonts w:ascii="宋体" w:eastAsia="宋体" w:hAnsi="宋体" w:cs="宋体" w:hint="eastAsia"/>
          <w:sz w:val="24"/>
          <w:szCs w:val="24"/>
        </w:rPr>
        <w:t>系杆索钢绞线</w:t>
      </w:r>
      <w:proofErr w:type="gramEnd"/>
      <w:r w:rsidRPr="00AF7005">
        <w:rPr>
          <w:rFonts w:ascii="宋体" w:eastAsia="宋体" w:hAnsi="宋体" w:cs="宋体" w:hint="eastAsia"/>
          <w:sz w:val="24"/>
          <w:szCs w:val="24"/>
        </w:rPr>
        <w:t>长度超过100m时，每束钢绞线中间应设置约束，避免在风力作用下钢绞线相互碰荡。</w:t>
      </w:r>
    </w:p>
    <w:p w:rsidR="00BA6061" w:rsidRDefault="00610DB9">
      <w:pPr>
        <w:tabs>
          <w:tab w:val="left" w:pos="284"/>
        </w:tabs>
        <w:spacing w:line="360" w:lineRule="auto"/>
        <w:ind w:firstLineChars="200"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无约束的长钢绞线在风力作用下会产生大幅摆振，多束钢绞线之间相互碰撞、摩擦，会磨损钢绞线表面的镀锌防腐层，甚至造成局部钢丝疲劳断丝；同时，钢绞线摆动时与提升塔架、导向装置的硬性接触，也会引发局部应力集中，降低钢绞线的安全承载能力。</w:t>
      </w:r>
    </w:p>
    <w:p w:rsidR="00BA6061" w:rsidRDefault="00610DB9">
      <w:pPr>
        <w:tabs>
          <w:tab w:val="left" w:pos="284"/>
        </w:tabs>
        <w:spacing w:line="360" w:lineRule="auto"/>
        <w:ind w:firstLineChars="200" w:firstLine="480"/>
        <w:jc w:val="left"/>
        <w:rPr>
          <w:rFonts w:ascii="宋体" w:eastAsia="宋体" w:hAnsi="宋体" w:cs="宋体"/>
          <w:sz w:val="24"/>
          <w:szCs w:val="24"/>
        </w:rPr>
      </w:pPr>
      <w:r>
        <w:rPr>
          <w:rFonts w:ascii="宋体" w:eastAsia="宋体" w:hAnsi="宋体" w:cs="宋体" w:hint="eastAsia"/>
          <w:i/>
          <w:color w:val="00B050"/>
          <w:sz w:val="24"/>
          <w:szCs w:val="24"/>
        </w:rPr>
        <w:t>钢绞线中间设置约束装置，限制长距离钢绞线在风力作用下的大幅摆动与相互碰荡，避免钢绞线磨损、断丝及由此引发的提升系统水平偏载风险。</w:t>
      </w:r>
    </w:p>
    <w:p w:rsidR="00BA6061" w:rsidRPr="00AF7005" w:rsidRDefault="00610DB9">
      <w:pPr>
        <w:pStyle w:val="ad"/>
        <w:numPr>
          <w:ilvl w:val="2"/>
          <w:numId w:val="3"/>
        </w:numPr>
        <w:spacing w:line="360" w:lineRule="auto"/>
        <w:ind w:left="0" w:firstLineChars="0" w:firstLine="0"/>
        <w:jc w:val="left"/>
        <w:rPr>
          <w:rFonts w:ascii="宋体" w:eastAsia="宋体" w:hAnsi="宋体" w:cs="宋体"/>
          <w:sz w:val="24"/>
          <w:szCs w:val="24"/>
        </w:rPr>
      </w:pPr>
      <w:r w:rsidRPr="00AF7005">
        <w:rPr>
          <w:rFonts w:ascii="宋体" w:eastAsia="宋体" w:hAnsi="宋体" w:cs="宋体" w:hint="eastAsia"/>
          <w:sz w:val="24"/>
          <w:szCs w:val="24"/>
        </w:rPr>
        <w:t>提升</w:t>
      </w:r>
      <w:proofErr w:type="gramStart"/>
      <w:r w:rsidRPr="00AF7005">
        <w:rPr>
          <w:rFonts w:ascii="宋体" w:eastAsia="宋体" w:hAnsi="宋体" w:cs="宋体" w:hint="eastAsia"/>
          <w:sz w:val="24"/>
          <w:szCs w:val="24"/>
        </w:rPr>
        <w:t>梁建议</w:t>
      </w:r>
      <w:proofErr w:type="gramEnd"/>
      <w:r w:rsidRPr="00AF7005">
        <w:rPr>
          <w:rFonts w:ascii="宋体" w:eastAsia="宋体" w:hAnsi="宋体" w:cs="宋体" w:hint="eastAsia"/>
          <w:sz w:val="24"/>
          <w:szCs w:val="24"/>
        </w:rPr>
        <w:t>采用前端开放式U形槽的箱型截面或拉开一定距离（保证钢绞线穿过）的双拼工字钢。</w:t>
      </w:r>
    </w:p>
    <w:p w:rsidR="00BA6061" w:rsidRDefault="00610DB9">
      <w:pPr>
        <w:tabs>
          <w:tab w:val="left" w:pos="284"/>
        </w:tabs>
        <w:spacing w:line="360" w:lineRule="auto"/>
        <w:ind w:firstLineChars="200"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条文说明：该条主要</w:t>
      </w:r>
      <w:proofErr w:type="gramStart"/>
      <w:r>
        <w:rPr>
          <w:rFonts w:ascii="宋体" w:eastAsia="宋体" w:hAnsi="宋体" w:cs="宋体" w:hint="eastAsia"/>
          <w:i/>
          <w:color w:val="00B050"/>
          <w:sz w:val="24"/>
          <w:szCs w:val="24"/>
        </w:rPr>
        <w:t>考虑穿束钢绞线</w:t>
      </w:r>
      <w:proofErr w:type="gramEnd"/>
      <w:r>
        <w:rPr>
          <w:rFonts w:ascii="宋体" w:eastAsia="宋体" w:hAnsi="宋体" w:cs="宋体" w:hint="eastAsia"/>
          <w:i/>
          <w:color w:val="00B050"/>
          <w:sz w:val="24"/>
          <w:szCs w:val="24"/>
        </w:rPr>
        <w:t>完成的提升油缸安装时的便利性，开放式U槽与双拼工字钢可允许油缸侧面吊装就位，对吊装设备起升高度要求较小。</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bookmarkStart w:id="52" w:name="OLE_LINK15"/>
      <w:bookmarkStart w:id="53" w:name="OLE_LINK16"/>
      <w:r>
        <w:rPr>
          <w:rFonts w:ascii="宋体" w:eastAsia="宋体" w:hAnsi="宋体" w:cs="宋体" w:hint="eastAsia"/>
          <w:sz w:val="24"/>
          <w:szCs w:val="24"/>
        </w:rPr>
        <w:t>提升支架宜支承于现状及加固后地基上，当未提升的主体结构刚度较大时，也可支承于未提升的主体结构上。支承于现状及加固后地基上时，地基承载力应满足受力和变形要求；支承于主体结构上时，应计入主体结构变形对提升施工的影响。</w:t>
      </w:r>
    </w:p>
    <w:bookmarkEnd w:id="52"/>
    <w:bookmarkEnd w:id="53"/>
    <w:p w:rsidR="00BA6061" w:rsidRDefault="00610DB9">
      <w:pPr>
        <w:tabs>
          <w:tab w:val="left" w:pos="284"/>
        </w:tabs>
        <w:spacing w:line="360" w:lineRule="auto"/>
        <w:ind w:firstLineChars="200"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条文说明：在同步提升施工过程中，提升支架是</w:t>
      </w:r>
      <w:proofErr w:type="gramStart"/>
      <w:r>
        <w:rPr>
          <w:rFonts w:ascii="宋体" w:eastAsia="宋体" w:hAnsi="宋体" w:cs="宋体" w:hint="eastAsia"/>
          <w:i/>
          <w:color w:val="00B050"/>
          <w:sz w:val="24"/>
          <w:szCs w:val="24"/>
        </w:rPr>
        <w:t>最</w:t>
      </w:r>
      <w:proofErr w:type="gramEnd"/>
      <w:r>
        <w:rPr>
          <w:rFonts w:ascii="宋体" w:eastAsia="宋体" w:hAnsi="宋体" w:cs="宋体" w:hint="eastAsia"/>
          <w:i/>
          <w:color w:val="00B050"/>
          <w:sz w:val="24"/>
          <w:szCs w:val="24"/>
        </w:rPr>
        <w:t>关键的施工临时构件，其设置的合理性及支承方式决定了施工的安全性及经济性。对于提升支架支承方式，通过搜集已有资料，主要有直接支承于现状及加固后地基或支承于未提升主体结构之上两种方式。对于支承于地基上的提升支架，地基承载力应能达到施工要求，对于不满足要求的地基，可采用地基</w:t>
      </w:r>
      <w:proofErr w:type="gramStart"/>
      <w:r>
        <w:rPr>
          <w:rFonts w:ascii="宋体" w:eastAsia="宋体" w:hAnsi="宋体" w:cs="宋体" w:hint="eastAsia"/>
          <w:i/>
          <w:color w:val="00B050"/>
          <w:sz w:val="24"/>
          <w:szCs w:val="24"/>
        </w:rPr>
        <w:t>换填或</w:t>
      </w:r>
      <w:proofErr w:type="gramEnd"/>
      <w:r>
        <w:rPr>
          <w:rFonts w:ascii="宋体" w:eastAsia="宋体" w:hAnsi="宋体" w:cs="宋体" w:hint="eastAsia"/>
          <w:i/>
          <w:color w:val="00B050"/>
          <w:sz w:val="24"/>
          <w:szCs w:val="24"/>
        </w:rPr>
        <w:t>钢管桩基础等形式进行加固，并对支架进行预压，以防后期提升荷载引起的沉降导致结构定位误差；对于支承于未提升主体结构上时，应考虑支架自重、提升荷载等对主体结构的影响，核实主体结构在施工过程中的受力，同步核实主体结构受力后的线形形态对提升节段的影响，确保施工过程中提升结构、未提升结构的安全性。</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主体结构低位拼装支架顶标高应结合主体结构施工过程中的受力变形设置。</w:t>
      </w:r>
    </w:p>
    <w:p w:rsidR="00BA6061" w:rsidRDefault="00610DB9">
      <w:pPr>
        <w:tabs>
          <w:tab w:val="left" w:pos="284"/>
        </w:tabs>
        <w:spacing w:line="360" w:lineRule="auto"/>
        <w:ind w:firstLineChars="200"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条文说明：考虑主体结构架设后受到自重及外荷载，主体结构一般需设置预拱度，以使结构合拢后线形达到设计要求。对于提升</w:t>
      </w:r>
      <w:proofErr w:type="gramStart"/>
      <w:r>
        <w:rPr>
          <w:rFonts w:ascii="宋体" w:eastAsia="宋体" w:hAnsi="宋体" w:cs="宋体" w:hint="eastAsia"/>
          <w:i/>
          <w:color w:val="00B050"/>
          <w:sz w:val="24"/>
          <w:szCs w:val="24"/>
        </w:rPr>
        <w:t>段主体</w:t>
      </w:r>
      <w:proofErr w:type="gramEnd"/>
      <w:r>
        <w:rPr>
          <w:rFonts w:ascii="宋体" w:eastAsia="宋体" w:hAnsi="宋体" w:cs="宋体" w:hint="eastAsia"/>
          <w:i/>
          <w:color w:val="00B050"/>
          <w:sz w:val="24"/>
          <w:szCs w:val="24"/>
        </w:rPr>
        <w:t>结构，在低位拼装时不仅应考虑预拱度的影响，同时需考虑在整体提升过程中可能存在的偏差，对结构的安装线形进行调整。具体措施为通过在低位拼装支架顶部设置调节块，调整每个支架顶的安装标高，实现安装线形的</w:t>
      </w:r>
      <w:proofErr w:type="gramStart"/>
      <w:r>
        <w:rPr>
          <w:rFonts w:ascii="宋体" w:eastAsia="宋体" w:hAnsi="宋体" w:cs="宋体" w:hint="eastAsia"/>
          <w:i/>
          <w:color w:val="00B050"/>
          <w:sz w:val="24"/>
          <w:szCs w:val="24"/>
        </w:rPr>
        <w:t>精确把</w:t>
      </w:r>
      <w:proofErr w:type="gramEnd"/>
      <w:r>
        <w:rPr>
          <w:rFonts w:ascii="宋体" w:eastAsia="宋体" w:hAnsi="宋体" w:cs="宋体" w:hint="eastAsia"/>
          <w:i/>
          <w:color w:val="00B050"/>
          <w:sz w:val="24"/>
          <w:szCs w:val="24"/>
        </w:rPr>
        <w:t>控。</w:t>
      </w:r>
    </w:p>
    <w:p w:rsidR="00BA6061" w:rsidRDefault="00610DB9">
      <w:pPr>
        <w:pStyle w:val="2"/>
        <w:keepNext w:val="0"/>
        <w:keepLines w:val="0"/>
        <w:numPr>
          <w:ilvl w:val="1"/>
          <w:numId w:val="1"/>
        </w:numPr>
        <w:spacing w:before="312" w:after="312" w:line="360" w:lineRule="auto"/>
        <w:ind w:left="0" w:firstLine="560"/>
        <w:jc w:val="center"/>
        <w:rPr>
          <w:rFonts w:ascii="黑体" w:hAnsi="黑体" w:cs="黑体"/>
          <w:b w:val="0"/>
          <w:sz w:val="28"/>
          <w:szCs w:val="28"/>
        </w:rPr>
      </w:pPr>
      <w:bookmarkStart w:id="54" w:name="_Toc223533690"/>
      <w:bookmarkStart w:id="55" w:name="_Toc224026607"/>
      <w:r>
        <w:rPr>
          <w:rFonts w:ascii="黑体" w:hAnsi="黑体" w:cs="黑体" w:hint="eastAsia"/>
          <w:b w:val="0"/>
          <w:sz w:val="28"/>
          <w:szCs w:val="28"/>
        </w:rPr>
        <w:t>机具设备要求</w:t>
      </w:r>
      <w:bookmarkEnd w:id="54"/>
      <w:bookmarkEnd w:id="55"/>
    </w:p>
    <w:p w:rsidR="00BA6061" w:rsidRDefault="00BA6061">
      <w:pPr>
        <w:pStyle w:val="ad"/>
        <w:numPr>
          <w:ilvl w:val="1"/>
          <w:numId w:val="3"/>
        </w:numPr>
        <w:spacing w:line="360" w:lineRule="auto"/>
        <w:ind w:firstLineChars="0"/>
        <w:jc w:val="left"/>
        <w:rPr>
          <w:rFonts w:ascii="宋体" w:eastAsia="宋体" w:hAnsi="宋体" w:cs="宋体"/>
          <w:vanish/>
          <w:sz w:val="24"/>
          <w:szCs w:val="24"/>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液压提升系统应采用计算机控制设计应符合下列规定：</w:t>
      </w:r>
    </w:p>
    <w:p w:rsidR="00BA6061" w:rsidRDefault="00610DB9">
      <w:pPr>
        <w:pStyle w:val="ad"/>
        <w:numPr>
          <w:ilvl w:val="3"/>
          <w:numId w:val="5"/>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重型结构和设备整体提升宜用计算机控制液压提升系统(简称液压提升系统)，液压提升系统宜采用柔性钢绞线承重，由提升油缸、泵站、传感检测及计算机控制系统组成。</w:t>
      </w:r>
    </w:p>
    <w:p w:rsidR="00BA6061" w:rsidRDefault="00610DB9">
      <w:pPr>
        <w:pStyle w:val="ad"/>
        <w:numPr>
          <w:ilvl w:val="3"/>
          <w:numId w:val="5"/>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提升油缸宜</w:t>
      </w:r>
      <w:proofErr w:type="gramStart"/>
      <w:r>
        <w:rPr>
          <w:rFonts w:ascii="宋体" w:eastAsia="宋体" w:hAnsi="宋体" w:cs="宋体" w:hint="eastAsia"/>
          <w:bCs/>
          <w:sz w:val="24"/>
          <w:szCs w:val="24"/>
        </w:rPr>
        <w:t>用穿芯式</w:t>
      </w:r>
      <w:proofErr w:type="gramEnd"/>
      <w:r>
        <w:rPr>
          <w:rFonts w:ascii="宋体" w:eastAsia="宋体" w:hAnsi="宋体" w:cs="宋体" w:hint="eastAsia"/>
          <w:bCs/>
          <w:sz w:val="24"/>
          <w:szCs w:val="24"/>
        </w:rPr>
        <w:t>油缸,内置一束钢绞线承载，由上锚具油缸、下锚具油缸和主油缸三部分组成。锚具夹片规格应与钢绞线的规格相对应。</w:t>
      </w:r>
    </w:p>
    <w:p w:rsidR="00BA6061" w:rsidRDefault="00610DB9">
      <w:pPr>
        <w:pStyle w:val="ad"/>
        <w:numPr>
          <w:ilvl w:val="3"/>
          <w:numId w:val="5"/>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提升泵站宜采用比例液压系统，实现多点同步控制。</w:t>
      </w:r>
    </w:p>
    <w:p w:rsidR="00BA6061" w:rsidRDefault="00610DB9">
      <w:pPr>
        <w:pStyle w:val="ad"/>
        <w:numPr>
          <w:ilvl w:val="3"/>
          <w:numId w:val="5"/>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计算机控制系统宜采用网络实现信号互连，根据被提升的结构或设备的控制要求选择传感器的种类和精度，宜配置长距离传感器和荷载传感器，应实时测量各个提升点的位移和荷载信息，通过液压比例系统实现位置同步和荷载均衡控制。</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液压提升系统的提升能力设计应符合下列规定：</w:t>
      </w:r>
    </w:p>
    <w:p w:rsidR="00BA6061" w:rsidRDefault="00610DB9">
      <w:pPr>
        <w:pStyle w:val="ad"/>
        <w:numPr>
          <w:ilvl w:val="3"/>
          <w:numId w:val="6"/>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应根据被提升结构及附属设施的重量、提升吊点布置的数量和方位及结构分析计算的结果，确定</w:t>
      </w:r>
      <w:proofErr w:type="gramStart"/>
      <w:r>
        <w:rPr>
          <w:rFonts w:ascii="宋体" w:eastAsia="宋体" w:hAnsi="宋体" w:cs="宋体" w:hint="eastAsia"/>
          <w:bCs/>
          <w:sz w:val="24"/>
          <w:szCs w:val="24"/>
        </w:rPr>
        <w:t>各吊点</w:t>
      </w:r>
      <w:proofErr w:type="gramEnd"/>
      <w:r>
        <w:rPr>
          <w:rFonts w:ascii="宋体" w:eastAsia="宋体" w:hAnsi="宋体" w:cs="宋体" w:hint="eastAsia"/>
          <w:bCs/>
          <w:sz w:val="24"/>
          <w:szCs w:val="24"/>
        </w:rPr>
        <w:t>荷载。</w:t>
      </w:r>
    </w:p>
    <w:p w:rsidR="00BA6061" w:rsidRDefault="00610DB9">
      <w:pPr>
        <w:pStyle w:val="ad"/>
        <w:numPr>
          <w:ilvl w:val="3"/>
          <w:numId w:val="6"/>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应根据</w:t>
      </w:r>
      <w:proofErr w:type="gramStart"/>
      <w:r>
        <w:rPr>
          <w:rFonts w:ascii="宋体" w:eastAsia="宋体" w:hAnsi="宋体" w:cs="宋体" w:hint="eastAsia"/>
          <w:bCs/>
          <w:sz w:val="24"/>
          <w:szCs w:val="24"/>
        </w:rPr>
        <w:t>各吊点</w:t>
      </w:r>
      <w:proofErr w:type="gramEnd"/>
      <w:r>
        <w:rPr>
          <w:rFonts w:ascii="宋体" w:eastAsia="宋体" w:hAnsi="宋体" w:cs="宋体" w:hint="eastAsia"/>
          <w:bCs/>
          <w:sz w:val="24"/>
          <w:szCs w:val="24"/>
        </w:rPr>
        <w:t>的荷载确定液压提升系统的总体提升能力和</w:t>
      </w:r>
      <w:proofErr w:type="gramStart"/>
      <w:r>
        <w:rPr>
          <w:rFonts w:ascii="宋体" w:eastAsia="宋体" w:hAnsi="宋体" w:cs="宋体" w:hint="eastAsia"/>
          <w:bCs/>
          <w:sz w:val="24"/>
          <w:szCs w:val="24"/>
        </w:rPr>
        <w:t>各吊点</w:t>
      </w:r>
      <w:proofErr w:type="gramEnd"/>
      <w:r>
        <w:rPr>
          <w:rFonts w:ascii="宋体" w:eastAsia="宋体" w:hAnsi="宋体" w:cs="宋体" w:hint="eastAsia"/>
          <w:bCs/>
          <w:sz w:val="24"/>
          <w:szCs w:val="24"/>
        </w:rPr>
        <w:t>提升能力。</w:t>
      </w:r>
    </w:p>
    <w:p w:rsidR="00BA6061" w:rsidRDefault="00610DB9">
      <w:pPr>
        <w:pStyle w:val="ad"/>
        <w:numPr>
          <w:ilvl w:val="3"/>
          <w:numId w:val="6"/>
        </w:numPr>
        <w:spacing w:line="360" w:lineRule="auto"/>
        <w:ind w:firstLine="480"/>
        <w:rPr>
          <w:rFonts w:ascii="宋体" w:eastAsia="宋体" w:hAnsi="宋体" w:cs="宋体"/>
          <w:bCs/>
          <w:sz w:val="24"/>
          <w:szCs w:val="24"/>
        </w:rPr>
      </w:pPr>
      <w:proofErr w:type="gramStart"/>
      <w:r>
        <w:rPr>
          <w:rFonts w:ascii="宋体" w:eastAsia="宋体" w:hAnsi="宋体" w:cs="宋体" w:hint="eastAsia"/>
          <w:bCs/>
          <w:sz w:val="24"/>
          <w:szCs w:val="24"/>
        </w:rPr>
        <w:t>各吊点</w:t>
      </w:r>
      <w:proofErr w:type="gramEnd"/>
      <w:r>
        <w:rPr>
          <w:rFonts w:ascii="宋体" w:eastAsia="宋体" w:hAnsi="宋体" w:cs="宋体" w:hint="eastAsia"/>
          <w:bCs/>
          <w:sz w:val="24"/>
          <w:szCs w:val="24"/>
        </w:rPr>
        <w:t>提升能力(指定吊点液压提升油缸额定荷载)不应小于对应吊点荷载标准值的1.25倍。</w:t>
      </w:r>
    </w:p>
    <w:p w:rsidR="00BA6061" w:rsidRDefault="00610DB9">
      <w:pPr>
        <w:pStyle w:val="ad"/>
        <w:numPr>
          <w:ilvl w:val="3"/>
          <w:numId w:val="6"/>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总体提升能力(所有液压提升油缸总额定荷载)不应小于总提升荷载标准值的1.25倍，且不大于2.5倍。</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多个提升油缸组合的吊点，宜采用同一型规格的提升油缸。</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液压泵站配置应满足提升速度和提升能力的要求。</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液压提升系统的设计功能应符合下列规定：</w:t>
      </w:r>
    </w:p>
    <w:p w:rsidR="00BA6061" w:rsidRDefault="00610DB9">
      <w:pPr>
        <w:pStyle w:val="ad"/>
        <w:numPr>
          <w:ilvl w:val="3"/>
          <w:numId w:val="7"/>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应根据提升系统的控制要求，选择位移与荷载传感器。</w:t>
      </w:r>
    </w:p>
    <w:p w:rsidR="00BA6061" w:rsidRDefault="00610DB9">
      <w:pPr>
        <w:pStyle w:val="ad"/>
        <w:numPr>
          <w:ilvl w:val="3"/>
          <w:numId w:val="7"/>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应根据被提升物的控制目标设计控制系统及编制控制软件。</w:t>
      </w:r>
    </w:p>
    <w:p w:rsidR="00BA6061" w:rsidRDefault="00610DB9">
      <w:pPr>
        <w:pStyle w:val="ad"/>
        <w:numPr>
          <w:ilvl w:val="3"/>
          <w:numId w:val="7"/>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多吊点的提升系统，宜结合结构计算结果选择荷载均衡和位置同步控制，并应编制控制软件。</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传感检测及液压提升系统应符合下列安全要求：</w:t>
      </w:r>
    </w:p>
    <w:p w:rsidR="00BA6061" w:rsidRDefault="00610DB9">
      <w:pPr>
        <w:pStyle w:val="ad"/>
        <w:numPr>
          <w:ilvl w:val="3"/>
          <w:numId w:val="8"/>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在控制系统的顺序控制功能中应设置安全自锁、互锁功能，不应有违反既定逻辑、既定时序的机械、液压和电气动作。</w:t>
      </w:r>
    </w:p>
    <w:p w:rsidR="00BA6061" w:rsidRDefault="00610DB9">
      <w:pPr>
        <w:pStyle w:val="ad"/>
        <w:numPr>
          <w:ilvl w:val="3"/>
          <w:numId w:val="8"/>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应选用抗干扰性能好的电气器件。</w:t>
      </w:r>
    </w:p>
    <w:p w:rsidR="00BA6061" w:rsidRDefault="00610DB9">
      <w:pPr>
        <w:pStyle w:val="ad"/>
        <w:numPr>
          <w:ilvl w:val="3"/>
          <w:numId w:val="8"/>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控制系统应有避免误触键、碰撞等引致的误动作的技术措施，应设置各种检验算法和判断逻辑。</w:t>
      </w:r>
    </w:p>
    <w:p w:rsidR="00BA6061" w:rsidRDefault="00610DB9">
      <w:pPr>
        <w:pStyle w:val="ad"/>
        <w:numPr>
          <w:ilvl w:val="3"/>
          <w:numId w:val="8"/>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控制系统应具有实时在线检测故障的手段及与控制系统完全独立的辅助检测手段。</w:t>
      </w:r>
    </w:p>
    <w:p w:rsidR="00BA6061" w:rsidRDefault="00610DB9">
      <w:pPr>
        <w:pStyle w:val="ad"/>
        <w:numPr>
          <w:ilvl w:val="3"/>
          <w:numId w:val="8"/>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控制系统应具有系统失电、失控时的保护措施。</w:t>
      </w:r>
    </w:p>
    <w:p w:rsidR="00BA6061" w:rsidRDefault="00610DB9">
      <w:pPr>
        <w:pStyle w:val="ad"/>
        <w:numPr>
          <w:ilvl w:val="3"/>
          <w:numId w:val="8"/>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控制系统的供配电设计应符合国家现行有关标准的规定，控制系统处于施工现场的高位时，应设置可靠的防雷措施。</w:t>
      </w:r>
    </w:p>
    <w:p w:rsidR="00BA6061" w:rsidRDefault="00610DB9">
      <w:pPr>
        <w:tabs>
          <w:tab w:val="left" w:pos="284"/>
        </w:tabs>
        <w:spacing w:line="360" w:lineRule="auto"/>
        <w:ind w:firstLineChars="200" w:firstLine="480"/>
        <w:jc w:val="left"/>
        <w:rPr>
          <w:rFonts w:ascii="宋体" w:eastAsia="宋体" w:hAnsi="宋体" w:cs="宋体"/>
          <w:bCs/>
          <w:sz w:val="24"/>
          <w:szCs w:val="24"/>
        </w:rPr>
      </w:pPr>
      <w:r>
        <w:rPr>
          <w:rFonts w:ascii="宋体" w:eastAsia="宋体" w:hAnsi="宋体" w:cs="宋体" w:hint="eastAsia"/>
          <w:i/>
          <w:color w:val="00B050"/>
          <w:sz w:val="24"/>
          <w:szCs w:val="24"/>
        </w:rPr>
        <w:t>条文说明：条文说明：以上取自《重型结构和设备整体提升技术规范》GB51162-2016第7.1节。</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多个提升油缸组合的提升点，应采取构造措施使各个油缸受荷一致。</w:t>
      </w:r>
    </w:p>
    <w:p w:rsidR="00BA6061" w:rsidRDefault="00610DB9">
      <w:pPr>
        <w:tabs>
          <w:tab w:val="left" w:pos="284"/>
        </w:tabs>
        <w:spacing w:line="360" w:lineRule="auto"/>
        <w:ind w:firstLineChars="200"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条文说明：通过构造措施实现荷载均匀分配，避免单个油缸超载、受力失衡引发的设备损坏或结构附加变形，保障提升过程的同步性与安全性。</w:t>
      </w:r>
    </w:p>
    <w:p w:rsidR="00BA6061" w:rsidRDefault="00610DB9">
      <w:pPr>
        <w:tabs>
          <w:tab w:val="left" w:pos="284"/>
        </w:tabs>
        <w:spacing w:line="360" w:lineRule="auto"/>
        <w:ind w:firstLineChars="200"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设备层面：单个油缸超载会导致液压系统压力异常、油缸密封件损坏等故障；受力过小的油缸则会处于空载状态，无法参与协同提升。</w:t>
      </w:r>
    </w:p>
    <w:p w:rsidR="00BA6061" w:rsidRDefault="00610DB9">
      <w:pPr>
        <w:tabs>
          <w:tab w:val="left" w:pos="284"/>
        </w:tabs>
        <w:spacing w:line="360" w:lineRule="auto"/>
        <w:ind w:firstLineChars="200"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结构层面：受力失衡会使提升点产生附加内力，导致主体结构吊点区域应力集中，同时引发结构整体偏斜、扭转，增加提升就位难度。</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提升油缸应设置行程传感器并接入同步提升系统，同步提升系统应具有根据传感器数据单独控制某个油缸动作的能力。</w:t>
      </w:r>
    </w:p>
    <w:p w:rsidR="00BA6061" w:rsidRDefault="00610DB9">
      <w:pPr>
        <w:tabs>
          <w:tab w:val="left" w:pos="284"/>
        </w:tabs>
        <w:spacing w:line="360" w:lineRule="auto"/>
        <w:ind w:firstLineChars="200" w:firstLine="480"/>
        <w:jc w:val="left"/>
        <w:rPr>
          <w:rFonts w:ascii="宋体" w:eastAsia="宋体" w:hAnsi="宋体" w:cs="宋体"/>
          <w:sz w:val="24"/>
          <w:szCs w:val="24"/>
        </w:rPr>
      </w:pPr>
      <w:r>
        <w:rPr>
          <w:rFonts w:ascii="宋体" w:eastAsia="宋体" w:hAnsi="宋体" w:cs="宋体" w:hint="eastAsia"/>
          <w:i/>
          <w:color w:val="00B050"/>
          <w:sz w:val="24"/>
          <w:szCs w:val="24"/>
        </w:rPr>
        <w:t>条文说明：通过行程传感器反馈 + 单缸独立控制的闭环控制逻辑，保障多油缸提升过程的位移同步精度，避免因油缸行程偏差引发结构偏斜、受力失衡。</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提升反力较大且位移敏感的提升点应设置称重传感器，密切监控提升反力。</w:t>
      </w:r>
    </w:p>
    <w:p w:rsidR="00BA6061" w:rsidRDefault="00610DB9">
      <w:pPr>
        <w:tabs>
          <w:tab w:val="left" w:pos="284"/>
        </w:tabs>
        <w:spacing w:line="360" w:lineRule="auto"/>
        <w:ind w:firstLineChars="200" w:firstLine="480"/>
        <w:jc w:val="left"/>
        <w:rPr>
          <w:rFonts w:ascii="宋体" w:eastAsia="宋体" w:hAnsi="宋体" w:cs="宋体"/>
          <w:sz w:val="24"/>
          <w:szCs w:val="24"/>
        </w:rPr>
      </w:pPr>
      <w:r>
        <w:rPr>
          <w:rFonts w:ascii="宋体" w:eastAsia="宋体" w:hAnsi="宋体" w:cs="宋体" w:hint="eastAsia"/>
          <w:i/>
          <w:color w:val="00B050"/>
          <w:sz w:val="24"/>
          <w:szCs w:val="24"/>
        </w:rPr>
        <w:t>条文说明：提升反力较大且位移敏感的提升点指该点位与其他点位不同步时提升反力增量较大，通过称重传感器实时采集提升反力数据，实现对提升点的荷载动态监测与预警，避免因荷载超限或受力失衡引发结构变形失控、设备损坏等风险。</w:t>
      </w:r>
    </w:p>
    <w:p w:rsidR="00BA6061" w:rsidRPr="00AF7005" w:rsidRDefault="00610DB9">
      <w:pPr>
        <w:pStyle w:val="ad"/>
        <w:numPr>
          <w:ilvl w:val="2"/>
          <w:numId w:val="3"/>
        </w:numPr>
        <w:spacing w:line="360" w:lineRule="auto"/>
        <w:ind w:left="0" w:firstLineChars="0" w:firstLine="0"/>
        <w:jc w:val="left"/>
        <w:rPr>
          <w:rFonts w:ascii="宋体" w:eastAsia="宋体" w:hAnsi="宋体" w:cs="宋体"/>
          <w:sz w:val="24"/>
          <w:szCs w:val="24"/>
        </w:rPr>
      </w:pPr>
      <w:r w:rsidRPr="00AF7005">
        <w:rPr>
          <w:rFonts w:ascii="宋体" w:eastAsia="宋体" w:hAnsi="宋体" w:cs="宋体" w:hint="eastAsia"/>
          <w:sz w:val="24"/>
          <w:szCs w:val="24"/>
        </w:rPr>
        <w:t xml:space="preserve"> 主体结构或提升临时结构主受力构件且应力较高的部位</w:t>
      </w:r>
      <w:proofErr w:type="gramStart"/>
      <w:r w:rsidRPr="00AF7005">
        <w:rPr>
          <w:rFonts w:ascii="宋体" w:eastAsia="宋体" w:hAnsi="宋体" w:cs="宋体" w:hint="eastAsia"/>
          <w:sz w:val="24"/>
          <w:szCs w:val="24"/>
        </w:rPr>
        <w:t>宜设置</w:t>
      </w:r>
      <w:proofErr w:type="gramEnd"/>
      <w:r w:rsidRPr="00AF7005">
        <w:rPr>
          <w:rFonts w:ascii="宋体" w:eastAsia="宋体" w:hAnsi="宋体" w:cs="宋体" w:hint="eastAsia"/>
          <w:sz w:val="24"/>
          <w:szCs w:val="24"/>
        </w:rPr>
        <w:t>应力传感器。</w:t>
      </w:r>
    </w:p>
    <w:p w:rsidR="00BA6061" w:rsidRDefault="00610DB9">
      <w:pPr>
        <w:tabs>
          <w:tab w:val="left" w:pos="284"/>
        </w:tabs>
        <w:spacing w:line="360" w:lineRule="auto"/>
        <w:ind w:firstLineChars="200"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w:t>
      </w:r>
      <w:proofErr w:type="gramStart"/>
      <w:r>
        <w:rPr>
          <w:rFonts w:ascii="宋体" w:eastAsia="宋体" w:hAnsi="宋体" w:cs="宋体" w:hint="eastAsia"/>
          <w:i/>
          <w:color w:val="00B050"/>
          <w:sz w:val="24"/>
          <w:szCs w:val="24"/>
        </w:rPr>
        <w:t>主结构</w:t>
      </w:r>
      <w:proofErr w:type="gramEnd"/>
      <w:r>
        <w:rPr>
          <w:rFonts w:ascii="宋体" w:eastAsia="宋体" w:hAnsi="宋体" w:cs="宋体" w:hint="eastAsia"/>
          <w:i/>
          <w:color w:val="00B050"/>
          <w:sz w:val="24"/>
          <w:szCs w:val="24"/>
        </w:rPr>
        <w:t>或临时结构应力较高部位设置应力传感器有如下必要性：</w:t>
      </w:r>
    </w:p>
    <w:p w:rsidR="00BA6061" w:rsidRDefault="00610DB9">
      <w:pPr>
        <w:tabs>
          <w:tab w:val="left" w:pos="284"/>
        </w:tabs>
        <w:spacing w:line="360" w:lineRule="auto"/>
        <w:ind w:firstLineChars="200"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1、弥补理论计算与现场实际的偏差主体结构和提升临时结构（如提升支架、分配梁）的高应力部位，其应力状态受施工工艺（如焊接残余应力）、提升不同步、荷载偏心等现场因素影响显著，理论计算难以完全精准模拟。应力传感器可实时采集真实应力值，验证有限元分析模型的准确性，避免 “计算安全、实际超限” 的隐患。</w:t>
      </w:r>
    </w:p>
    <w:p w:rsidR="00BA6061" w:rsidRDefault="00610DB9">
      <w:pPr>
        <w:tabs>
          <w:tab w:val="left" w:pos="284"/>
        </w:tabs>
        <w:spacing w:line="360" w:lineRule="auto"/>
        <w:ind w:firstLineChars="200"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2、实现高风险部位的提前预警主受力构件的高应力区域，应力水平接近材料设计容许应力，微小的荷载波动就可能导致应力超限。通过传感器实时监测，可在应力达到预警阈值时及时干预，避免构件进入塑性变形阶段。</w:t>
      </w:r>
    </w:p>
    <w:p w:rsidR="00BA6061" w:rsidRDefault="00610DB9">
      <w:pPr>
        <w:tabs>
          <w:tab w:val="left" w:pos="284"/>
        </w:tabs>
        <w:spacing w:line="360" w:lineRule="auto"/>
        <w:ind w:firstLineChars="200"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提升过程的动态调控应力监测数据可与同步提升系统联动，当某部位应力突增时，系统可自动调整对应区域油缸的提升速度或荷载，实现 “应力 - 位移 - 荷载” 的协同调控，保障结构受力始终处于安全区间。</w:t>
      </w:r>
    </w:p>
    <w:p w:rsidR="00BA6061" w:rsidRPr="00AF7005" w:rsidRDefault="00610DB9">
      <w:pPr>
        <w:pStyle w:val="ad"/>
        <w:numPr>
          <w:ilvl w:val="2"/>
          <w:numId w:val="3"/>
        </w:numPr>
        <w:spacing w:line="360" w:lineRule="auto"/>
        <w:ind w:left="0" w:firstLineChars="0" w:firstLine="0"/>
        <w:jc w:val="left"/>
        <w:rPr>
          <w:rFonts w:ascii="宋体" w:eastAsia="宋体" w:hAnsi="宋体" w:cs="宋体"/>
          <w:sz w:val="24"/>
          <w:szCs w:val="24"/>
        </w:rPr>
      </w:pPr>
      <w:r w:rsidRPr="00AF7005">
        <w:rPr>
          <w:rFonts w:ascii="宋体" w:eastAsia="宋体" w:hAnsi="宋体" w:cs="宋体" w:hint="eastAsia"/>
          <w:sz w:val="24"/>
          <w:szCs w:val="24"/>
        </w:rPr>
        <w:t xml:space="preserve"> 提升钢绞线应设置收纳措施，避免钢绞线重量造成提升油缸顶部水平偏载。</w:t>
      </w:r>
    </w:p>
    <w:p w:rsidR="00BA6061" w:rsidRDefault="00610DB9">
      <w:pPr>
        <w:tabs>
          <w:tab w:val="left" w:pos="284"/>
        </w:tabs>
        <w:spacing w:line="360" w:lineRule="auto"/>
        <w:ind w:firstLineChars="200" w:firstLine="480"/>
        <w:jc w:val="left"/>
        <w:rPr>
          <w:rFonts w:ascii="宋体" w:eastAsia="宋体" w:hAnsi="宋体" w:cs="宋体"/>
          <w:sz w:val="24"/>
          <w:szCs w:val="24"/>
        </w:rPr>
      </w:pPr>
      <w:r>
        <w:rPr>
          <w:rFonts w:ascii="宋体" w:eastAsia="宋体" w:hAnsi="宋体" w:cs="宋体" w:hint="eastAsia"/>
          <w:i/>
          <w:color w:val="00B050"/>
          <w:sz w:val="24"/>
          <w:szCs w:val="24"/>
        </w:rPr>
        <w:t>条文说明：收纳措施约束钢绞线的自由下垂状态，消除其自重引发的水平分力，避免提升油缸顶部承受附加偏载，保障油缸轴心受力与提升系统稳定。</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同步提升机具设备尚应符合现行国家标准《重型结构和设备整体提升技术规范》GB51162的相关规定。</w:t>
      </w:r>
    </w:p>
    <w:p w:rsidR="00BA6061" w:rsidRDefault="00610DB9">
      <w:pPr>
        <w:pStyle w:val="2"/>
        <w:keepNext w:val="0"/>
        <w:keepLines w:val="0"/>
        <w:numPr>
          <w:ilvl w:val="1"/>
          <w:numId w:val="1"/>
        </w:numPr>
        <w:spacing w:before="312" w:after="312" w:line="360" w:lineRule="auto"/>
        <w:ind w:left="0" w:firstLine="560"/>
        <w:jc w:val="center"/>
        <w:rPr>
          <w:rFonts w:ascii="黑体" w:hAnsi="黑体" w:cs="黑体"/>
          <w:b w:val="0"/>
          <w:sz w:val="28"/>
          <w:szCs w:val="28"/>
        </w:rPr>
      </w:pPr>
      <w:bookmarkStart w:id="56" w:name="_Toc223533691"/>
      <w:bookmarkStart w:id="57" w:name="_Toc224026608"/>
      <w:r>
        <w:rPr>
          <w:rFonts w:ascii="黑体" w:hAnsi="黑体" w:cs="黑体" w:hint="eastAsia"/>
          <w:b w:val="0"/>
          <w:sz w:val="28"/>
          <w:szCs w:val="28"/>
        </w:rPr>
        <w:t>结构计算</w:t>
      </w:r>
      <w:bookmarkEnd w:id="56"/>
      <w:bookmarkEnd w:id="57"/>
    </w:p>
    <w:p w:rsidR="00BA6061" w:rsidRDefault="00BA6061">
      <w:pPr>
        <w:pStyle w:val="ad"/>
        <w:numPr>
          <w:ilvl w:val="1"/>
          <w:numId w:val="3"/>
        </w:numPr>
        <w:spacing w:line="360" w:lineRule="auto"/>
        <w:ind w:firstLineChars="0"/>
        <w:jc w:val="left"/>
        <w:rPr>
          <w:rFonts w:ascii="宋体" w:eastAsia="宋体" w:hAnsi="宋体" w:cs="宋体"/>
          <w:vanish/>
          <w:sz w:val="24"/>
          <w:szCs w:val="24"/>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bookmarkStart w:id="58" w:name="OLE_LINK22"/>
      <w:r>
        <w:rPr>
          <w:rFonts w:ascii="宋体" w:eastAsia="宋体" w:hAnsi="宋体" w:cs="宋体" w:hint="eastAsia"/>
          <w:sz w:val="24"/>
          <w:szCs w:val="24"/>
        </w:rPr>
        <w:t>同步提升计算工况应包含支承结构（</w:t>
      </w:r>
      <w:proofErr w:type="gramStart"/>
      <w:r>
        <w:rPr>
          <w:rFonts w:ascii="宋体" w:eastAsia="宋体" w:hAnsi="宋体" w:cs="宋体" w:hint="eastAsia"/>
          <w:sz w:val="24"/>
          <w:szCs w:val="24"/>
        </w:rPr>
        <w:t>含缆风</w:t>
      </w:r>
      <w:proofErr w:type="gramEnd"/>
      <w:r>
        <w:rPr>
          <w:rFonts w:ascii="宋体" w:eastAsia="宋体" w:hAnsi="宋体" w:cs="宋体" w:hint="eastAsia"/>
          <w:sz w:val="24"/>
          <w:szCs w:val="24"/>
        </w:rPr>
        <w:t>）安装、</w:t>
      </w:r>
      <w:proofErr w:type="gramStart"/>
      <w:r>
        <w:rPr>
          <w:rFonts w:ascii="宋体" w:eastAsia="宋体" w:hAnsi="宋体" w:cs="宋体" w:hint="eastAsia"/>
          <w:sz w:val="24"/>
          <w:szCs w:val="24"/>
        </w:rPr>
        <w:t>缆风预紧</w:t>
      </w:r>
      <w:proofErr w:type="gramEnd"/>
      <w:r>
        <w:rPr>
          <w:rFonts w:ascii="宋体" w:eastAsia="宋体" w:hAnsi="宋体" w:cs="宋体" w:hint="eastAsia"/>
          <w:sz w:val="24"/>
          <w:szCs w:val="24"/>
        </w:rPr>
        <w:t>、同步提升、合龙、卸载等工况。</w:t>
      </w:r>
    </w:p>
    <w:bookmarkEnd w:id="58"/>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被提升工程结构的验算分析应计入分步加载、合龙、卸载等结构体系转换影响及提升不同步效应，不同步效应</w:t>
      </w:r>
      <w:proofErr w:type="gramStart"/>
      <w:r>
        <w:rPr>
          <w:rFonts w:ascii="宋体" w:eastAsia="宋体" w:hAnsi="宋体" w:cs="宋体" w:hint="eastAsia"/>
          <w:sz w:val="24"/>
          <w:szCs w:val="24"/>
        </w:rPr>
        <w:t>应</w:t>
      </w:r>
      <w:proofErr w:type="gramEnd"/>
      <w:r>
        <w:rPr>
          <w:rFonts w:ascii="宋体" w:eastAsia="宋体" w:hAnsi="宋体" w:cs="宋体" w:hint="eastAsia"/>
          <w:sz w:val="24"/>
          <w:szCs w:val="24"/>
        </w:rPr>
        <w:t>作为可变作用参与荷载组合。</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条文说明：在整体提升施工中，对被提升结构进行全面的验算分析是确保安全的核心。要求考察“提升点不同步效应”及“分步卸载拆除效应”，旨在精确模拟施工的真实力学状态。</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提升点不同步效应：理论上各提升点应同步位移，但实际中因液压系统微差、监测调控滞后或结构刚度不均，难免出现偏差。这种不同步会在结构内产生附加的次应力，可能导致局部杆件过载、变形超限或节点损坏。验算需设定合理的不同步值，进行最不利工况分析，确保结构在可控差异下保持安全。</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支承系统分步卸载拆除效应：提升就位后，结构从由临时提升架支承，逐步转换至永久支座受力。此过程是受力体系的“二次分配”，若卸载顺序不当，将引起结构内力重分布，产生不可预见的集中应力或大幅位移，危及结构及永久支座安全。验算必须模拟分步拆除的每个工况，确保内力与变形平稳、有序过渡。</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综上所述，此项要求强调对被提升结构的验算必须动态模拟提升与体系转换的全过程，以主动控制风险，保障施工绝对安全与结构最终成型质量。</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大型结构的整体提升应对被提升结构进行施工阶段的结构验算和分析，施工过程模拟计算工况应严格与现场施工方案一致。</w:t>
      </w:r>
    </w:p>
    <w:p w:rsidR="00BA6061" w:rsidRDefault="00610DB9">
      <w:pPr>
        <w:tabs>
          <w:tab w:val="left" w:pos="284"/>
        </w:tabs>
        <w:spacing w:line="360" w:lineRule="auto"/>
        <w:ind w:firstLineChars="200"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重型结构和设备整体提升技术规范》GB51162-2016规定：重型结构的整体提升应对被提升结构进行施工阶段的结构验算和分析。本规范补充施工模拟与施工方案的一致性，施工过程模拟的核心价值是预判施工风险，若计算工况与现场施工方案存在偏差，会直接导致模拟结果失真，无法指导施工甚至引起结构安全性风险。</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提升施工阶段临时结构验算，提升反力应作为可变作用参与荷载组合；同时应考虑可能出现的钢绞线偏心引起的水平荷载，该水平荷载作为可变作用参与荷载组合。</w:t>
      </w:r>
    </w:p>
    <w:p w:rsidR="00BA6061" w:rsidRDefault="00610DB9">
      <w:pPr>
        <w:tabs>
          <w:tab w:val="left" w:pos="284"/>
        </w:tabs>
        <w:spacing w:line="360" w:lineRule="auto"/>
        <w:ind w:firstLineChars="200" w:firstLine="480"/>
        <w:jc w:val="left"/>
        <w:rPr>
          <w:rFonts w:ascii="宋体" w:eastAsia="宋体" w:hAnsi="宋体" w:cs="宋体"/>
          <w:sz w:val="24"/>
          <w:szCs w:val="24"/>
        </w:rPr>
      </w:pPr>
      <w:r>
        <w:rPr>
          <w:rFonts w:ascii="宋体" w:eastAsia="宋体" w:hAnsi="宋体" w:cs="宋体" w:hint="eastAsia"/>
          <w:i/>
          <w:color w:val="00B050"/>
          <w:sz w:val="24"/>
          <w:szCs w:val="24"/>
        </w:rPr>
        <w:t>条文说明：提升工况属于临时施工状态，提升反力、钢绞线偏心荷载等相对</w:t>
      </w:r>
      <w:proofErr w:type="gramStart"/>
      <w:r>
        <w:rPr>
          <w:rFonts w:ascii="宋体" w:eastAsia="宋体" w:hAnsi="宋体" w:cs="宋体" w:hint="eastAsia"/>
          <w:i/>
          <w:color w:val="00B050"/>
          <w:sz w:val="24"/>
          <w:szCs w:val="24"/>
        </w:rPr>
        <w:t>于临时</w:t>
      </w:r>
      <w:proofErr w:type="gramEnd"/>
      <w:r>
        <w:rPr>
          <w:rFonts w:ascii="宋体" w:eastAsia="宋体" w:hAnsi="宋体" w:cs="宋体" w:hint="eastAsia"/>
          <w:i/>
          <w:color w:val="00B050"/>
          <w:sz w:val="24"/>
          <w:szCs w:val="24"/>
        </w:rPr>
        <w:t>约束体系（如提升油缸、吊点、提升架），需按活荷载属性参与荷载组合，以此精准反映施工阶段的荷载不确定性与受力风险。</w:t>
      </w:r>
    </w:p>
    <w:p w:rsidR="00BA6061" w:rsidRPr="00AF7005" w:rsidRDefault="00610DB9">
      <w:pPr>
        <w:pStyle w:val="ad"/>
        <w:numPr>
          <w:ilvl w:val="2"/>
          <w:numId w:val="3"/>
        </w:numPr>
        <w:spacing w:line="360" w:lineRule="auto"/>
        <w:ind w:left="0" w:firstLineChars="0" w:firstLine="0"/>
        <w:jc w:val="left"/>
        <w:rPr>
          <w:rFonts w:ascii="宋体" w:eastAsia="宋体" w:hAnsi="宋体" w:cs="宋体"/>
          <w:sz w:val="24"/>
          <w:szCs w:val="24"/>
        </w:rPr>
      </w:pPr>
      <w:r w:rsidRPr="00AF7005">
        <w:rPr>
          <w:rFonts w:ascii="宋体" w:eastAsia="宋体" w:hAnsi="宋体" w:cs="宋体" w:hint="eastAsia"/>
          <w:sz w:val="24"/>
          <w:szCs w:val="24"/>
        </w:rPr>
        <w:t>验算提升点与主体结构连接节点、临时对拉</w:t>
      </w:r>
      <w:proofErr w:type="gramStart"/>
      <w:r w:rsidRPr="00AF7005">
        <w:rPr>
          <w:rFonts w:ascii="宋体" w:eastAsia="宋体" w:hAnsi="宋体" w:cs="宋体" w:hint="eastAsia"/>
          <w:sz w:val="24"/>
          <w:szCs w:val="24"/>
        </w:rPr>
        <w:t>系杆索在</w:t>
      </w:r>
      <w:proofErr w:type="gramEnd"/>
      <w:r w:rsidRPr="00AF7005">
        <w:rPr>
          <w:rFonts w:ascii="宋体" w:eastAsia="宋体" w:hAnsi="宋体" w:cs="宋体" w:hint="eastAsia"/>
          <w:sz w:val="24"/>
          <w:szCs w:val="24"/>
        </w:rPr>
        <w:t>拱肋上的锚固节点、提升支架在主体结构上的支承节点的连接时，其抗力应再除以附加系数1.2。</w:t>
      </w:r>
    </w:p>
    <w:p w:rsidR="00BA6061" w:rsidRDefault="00610DB9">
      <w:pPr>
        <w:tabs>
          <w:tab w:val="left" w:pos="284"/>
        </w:tabs>
        <w:spacing w:line="360" w:lineRule="auto"/>
        <w:ind w:firstLineChars="200"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整体结构分析中，提升节点通常被简化为刚性节点或铰接节点，无法反映加劲板、焊缝、预埋件等局部构造的应力梯度；而大跨度、大吨位提升工况下，节点区域是集中力传递的核心，易出现应力集中，必须通过精细化分析识别风险。</w:t>
      </w:r>
    </w:p>
    <w:p w:rsidR="00BA6061" w:rsidRDefault="00610DB9">
      <w:pPr>
        <w:tabs>
          <w:tab w:val="left" w:pos="284"/>
        </w:tabs>
        <w:spacing w:line="360" w:lineRule="auto"/>
        <w:ind w:firstLineChars="200"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提升点为特别重要的受力点和易发生应力集中的部位，验算这类节点时，抗力应再除以1</w:t>
      </w:r>
      <w:r>
        <w:rPr>
          <w:rFonts w:ascii="宋体" w:eastAsia="宋体" w:hAnsi="宋体" w:cs="宋体"/>
          <w:i/>
          <w:color w:val="00B050"/>
          <w:sz w:val="24"/>
          <w:szCs w:val="24"/>
        </w:rPr>
        <w:t>.2</w:t>
      </w:r>
      <w:r>
        <w:rPr>
          <w:rFonts w:ascii="宋体" w:eastAsia="宋体" w:hAnsi="宋体" w:cs="宋体" w:hint="eastAsia"/>
          <w:i/>
          <w:color w:val="00B050"/>
          <w:sz w:val="24"/>
          <w:szCs w:val="24"/>
        </w:rPr>
        <w:t>的附加系数</w:t>
      </w:r>
      <w:r>
        <w:rPr>
          <w:rFonts w:ascii="宋体" w:eastAsia="宋体" w:hAnsi="宋体" w:cs="宋体"/>
          <w:i/>
          <w:color w:val="00B050"/>
          <w:sz w:val="24"/>
          <w:szCs w:val="24"/>
        </w:rPr>
        <w:t>。</w:t>
      </w:r>
    </w:p>
    <w:p w:rsidR="00BA6061" w:rsidRPr="00AF7005" w:rsidRDefault="00610DB9">
      <w:pPr>
        <w:pStyle w:val="ad"/>
        <w:numPr>
          <w:ilvl w:val="2"/>
          <w:numId w:val="3"/>
        </w:numPr>
        <w:spacing w:line="360" w:lineRule="auto"/>
        <w:ind w:left="0" w:firstLineChars="0" w:firstLine="0"/>
        <w:jc w:val="left"/>
        <w:rPr>
          <w:rFonts w:ascii="宋体" w:eastAsia="宋体" w:hAnsi="宋体" w:cs="宋体"/>
          <w:sz w:val="24"/>
          <w:szCs w:val="24"/>
        </w:rPr>
      </w:pPr>
      <w:r w:rsidRPr="00AF7005">
        <w:rPr>
          <w:rFonts w:ascii="宋体" w:eastAsia="宋体" w:hAnsi="宋体" w:cs="宋体" w:hint="eastAsia"/>
          <w:sz w:val="24"/>
          <w:szCs w:val="24"/>
        </w:rPr>
        <w:t xml:space="preserve"> 当提升高重心结构时,应进行抗倾覆验算。当抗倾覆力矩小于倾覆力矩的1.2倍时，应增加配重、降低重心或设置附加约束。</w:t>
      </w:r>
    </w:p>
    <w:p w:rsidR="00BA6061" w:rsidRDefault="00610DB9">
      <w:pPr>
        <w:tabs>
          <w:tab w:val="left" w:pos="284"/>
        </w:tabs>
        <w:spacing w:line="360" w:lineRule="auto"/>
        <w:ind w:firstLineChars="200"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条文说明：取自《重型结构和设备整体提升技术规范》GB51162-2016第5.1.6条。</w:t>
      </w:r>
    </w:p>
    <w:p w:rsidR="00BA6061" w:rsidRPr="00AF7005" w:rsidRDefault="00610DB9">
      <w:pPr>
        <w:pStyle w:val="ad"/>
        <w:numPr>
          <w:ilvl w:val="2"/>
          <w:numId w:val="3"/>
        </w:numPr>
        <w:spacing w:line="360" w:lineRule="auto"/>
        <w:ind w:left="0" w:firstLineChars="0" w:firstLine="0"/>
        <w:jc w:val="left"/>
        <w:rPr>
          <w:rFonts w:ascii="宋体" w:eastAsia="宋体" w:hAnsi="宋体" w:cs="宋体"/>
          <w:sz w:val="24"/>
          <w:szCs w:val="24"/>
        </w:rPr>
      </w:pPr>
      <w:r w:rsidRPr="00AF7005">
        <w:rPr>
          <w:rFonts w:ascii="宋体" w:eastAsia="宋体" w:hAnsi="宋体" w:cs="宋体" w:hint="eastAsia"/>
          <w:sz w:val="24"/>
          <w:szCs w:val="24"/>
        </w:rPr>
        <w:t>多点同步提升的大型结构应进行群</w:t>
      </w:r>
      <w:proofErr w:type="gramStart"/>
      <w:r w:rsidRPr="00AF7005">
        <w:rPr>
          <w:rFonts w:ascii="宋体" w:eastAsia="宋体" w:hAnsi="宋体" w:cs="宋体" w:hint="eastAsia"/>
          <w:sz w:val="24"/>
          <w:szCs w:val="24"/>
        </w:rPr>
        <w:t>柱整体</w:t>
      </w:r>
      <w:proofErr w:type="gramEnd"/>
      <w:r w:rsidRPr="00AF7005">
        <w:rPr>
          <w:rFonts w:ascii="宋体" w:eastAsia="宋体" w:hAnsi="宋体" w:cs="宋体" w:hint="eastAsia"/>
          <w:sz w:val="24"/>
          <w:szCs w:val="24"/>
        </w:rPr>
        <w:t>稳定性验算，验算可采用逐点失效准则进行。</w:t>
      </w:r>
    </w:p>
    <w:p w:rsidR="00BA6061" w:rsidRDefault="00610DB9">
      <w:pPr>
        <w:tabs>
          <w:tab w:val="left" w:pos="284"/>
        </w:tabs>
        <w:spacing w:line="360" w:lineRule="auto"/>
        <w:ind w:firstLineChars="200"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多点同步提升大型结构时，提升柱群通常承担着数千吨级荷载，且各柱受力随提升同步性、风荷载及安装偏差动态变化。本条文规定进行群柱稳定性验算，旨在防止因单根提升柱意外失效（如液压提升器故障、锚固滑移或局部失稳）引发连锁破坏，导致整体倾覆。逐点失效准则是模拟连续倒塌工况的简化方法，其核心思路是：假定群柱中任意一根提升</w:t>
      </w:r>
      <w:proofErr w:type="gramStart"/>
      <w:r>
        <w:rPr>
          <w:rFonts w:ascii="宋体" w:eastAsia="宋体" w:hAnsi="宋体" w:cs="宋体" w:hint="eastAsia"/>
          <w:i/>
          <w:color w:val="00B050"/>
          <w:sz w:val="24"/>
          <w:szCs w:val="24"/>
        </w:rPr>
        <w:t>柱突然</w:t>
      </w:r>
      <w:proofErr w:type="gramEnd"/>
      <w:r>
        <w:rPr>
          <w:rFonts w:ascii="宋体" w:eastAsia="宋体" w:hAnsi="宋体" w:cs="宋体" w:hint="eastAsia"/>
          <w:i/>
          <w:color w:val="00B050"/>
          <w:sz w:val="24"/>
          <w:szCs w:val="24"/>
        </w:rPr>
        <w:t>退出工作，验算剩余柱</w:t>
      </w:r>
      <w:proofErr w:type="gramStart"/>
      <w:r>
        <w:rPr>
          <w:rFonts w:ascii="宋体" w:eastAsia="宋体" w:hAnsi="宋体" w:cs="宋体" w:hint="eastAsia"/>
          <w:i/>
          <w:color w:val="00B050"/>
          <w:sz w:val="24"/>
          <w:szCs w:val="24"/>
        </w:rPr>
        <w:t>在传力路径</w:t>
      </w:r>
      <w:proofErr w:type="gramEnd"/>
      <w:r>
        <w:rPr>
          <w:rFonts w:ascii="宋体" w:eastAsia="宋体" w:hAnsi="宋体" w:cs="宋体" w:hint="eastAsia"/>
          <w:i/>
          <w:color w:val="00B050"/>
          <w:sz w:val="24"/>
          <w:szCs w:val="24"/>
        </w:rPr>
        <w:t>重分布后的极限承载力和整体稳定。验算时应选取受力最不利柱、边界条件较弱柱或液压提升器故障概率较高处作为失效点，按荷载基本组合考虑提升荷载、结构自重及风荷载，分别对各失效工况进行分析，要求剩余柱最大应力不超过规范限值，</w:t>
      </w:r>
      <w:proofErr w:type="gramStart"/>
      <w:r>
        <w:rPr>
          <w:rFonts w:ascii="宋体" w:eastAsia="宋体" w:hAnsi="宋体" w:cs="宋体" w:hint="eastAsia"/>
          <w:i/>
          <w:color w:val="00B050"/>
          <w:sz w:val="24"/>
          <w:szCs w:val="24"/>
        </w:rPr>
        <w:t>且群柱整体</w:t>
      </w:r>
      <w:proofErr w:type="gramEnd"/>
      <w:r>
        <w:rPr>
          <w:rFonts w:ascii="宋体" w:eastAsia="宋体" w:hAnsi="宋体" w:cs="宋体" w:hint="eastAsia"/>
          <w:i/>
          <w:color w:val="00B050"/>
          <w:sz w:val="24"/>
          <w:szCs w:val="24"/>
        </w:rPr>
        <w:t>不产生过大侧移。该方法兼顾了偶然设计状况的经济性与安全性，避免盲目增加所有柱截面，重点强化关键柱及柱间支撑。实际应用中，尚应结合提升同步精度控制标准，对失效柱相邻区域的节点构造采取加强措施，真正实现“一处失效、整体不倒”的设防目标。</w:t>
      </w:r>
    </w:p>
    <w:p w:rsidR="00BA6061" w:rsidRDefault="00BA6061">
      <w:pPr>
        <w:tabs>
          <w:tab w:val="left" w:pos="284"/>
        </w:tabs>
        <w:spacing w:line="360" w:lineRule="auto"/>
        <w:ind w:firstLineChars="200" w:firstLine="640"/>
        <w:jc w:val="left"/>
        <w:rPr>
          <w:rFonts w:ascii="仿宋" w:eastAsia="仿宋" w:hAnsi="仿宋" w:cs="Times New Roman"/>
          <w:bCs/>
          <w:sz w:val="32"/>
          <w:szCs w:val="32"/>
        </w:rPr>
        <w:sectPr w:rsidR="00BA6061">
          <w:pgSz w:w="11906" w:h="16838"/>
          <w:pgMar w:top="1440" w:right="1800" w:bottom="1440" w:left="1800" w:header="851" w:footer="992" w:gutter="0"/>
          <w:cols w:space="425"/>
          <w:docGrid w:type="lines" w:linePitch="312"/>
        </w:sectPr>
      </w:pPr>
    </w:p>
    <w:p w:rsidR="00BA6061" w:rsidRDefault="00610DB9" w:rsidP="00BF12E9">
      <w:pPr>
        <w:pStyle w:val="1"/>
        <w:keepNext w:val="0"/>
        <w:keepLines w:val="0"/>
        <w:spacing w:before="312" w:after="312"/>
      </w:pPr>
      <w:r>
        <w:rPr>
          <w:rFonts w:hint="eastAsia"/>
        </w:rPr>
        <w:t xml:space="preserve">  </w:t>
      </w:r>
      <w:bookmarkStart w:id="59" w:name="_Toc224026609"/>
      <w:r>
        <w:rPr>
          <w:rFonts w:hint="eastAsia"/>
        </w:rPr>
        <w:t>同步滑移结构设计</w:t>
      </w:r>
      <w:bookmarkEnd w:id="59"/>
    </w:p>
    <w:p w:rsidR="00BA6061" w:rsidRDefault="00610DB9">
      <w:pPr>
        <w:pStyle w:val="2"/>
        <w:keepNext w:val="0"/>
        <w:keepLines w:val="0"/>
        <w:numPr>
          <w:ilvl w:val="1"/>
          <w:numId w:val="1"/>
        </w:numPr>
        <w:spacing w:before="312" w:after="312" w:line="360" w:lineRule="auto"/>
        <w:ind w:left="0" w:firstLine="560"/>
        <w:jc w:val="center"/>
        <w:rPr>
          <w:rFonts w:ascii="黑体" w:hAnsi="黑体" w:cs="黑体"/>
          <w:b w:val="0"/>
          <w:sz w:val="28"/>
          <w:szCs w:val="28"/>
        </w:rPr>
      </w:pPr>
      <w:bookmarkStart w:id="60" w:name="_Toc223533692"/>
      <w:bookmarkStart w:id="61" w:name="_Toc224026610"/>
      <w:r>
        <w:rPr>
          <w:rFonts w:ascii="黑体" w:hAnsi="黑体" w:cs="黑体"/>
          <w:b w:val="0"/>
          <w:sz w:val="28"/>
          <w:szCs w:val="28"/>
        </w:rPr>
        <w:t>主体结构设计</w:t>
      </w:r>
      <w:bookmarkEnd w:id="60"/>
      <w:bookmarkEnd w:id="61"/>
    </w:p>
    <w:p w:rsidR="00BA6061" w:rsidRDefault="00BA6061">
      <w:pPr>
        <w:pStyle w:val="ad"/>
        <w:numPr>
          <w:ilvl w:val="0"/>
          <w:numId w:val="3"/>
        </w:numPr>
        <w:spacing w:line="360" w:lineRule="auto"/>
        <w:ind w:firstLineChars="0"/>
        <w:jc w:val="left"/>
        <w:rPr>
          <w:rFonts w:ascii="宋体" w:eastAsia="宋体" w:hAnsi="宋体" w:cs="宋体"/>
          <w:vanish/>
          <w:sz w:val="24"/>
          <w:szCs w:val="24"/>
        </w:rPr>
      </w:pPr>
    </w:p>
    <w:p w:rsidR="00BA6061" w:rsidRDefault="00BA6061">
      <w:pPr>
        <w:pStyle w:val="ad"/>
        <w:numPr>
          <w:ilvl w:val="1"/>
          <w:numId w:val="3"/>
        </w:numPr>
        <w:spacing w:line="360" w:lineRule="auto"/>
        <w:ind w:firstLineChars="0"/>
        <w:jc w:val="left"/>
        <w:rPr>
          <w:rFonts w:ascii="宋体" w:eastAsia="宋体" w:hAnsi="宋体" w:cs="宋体"/>
          <w:vanish/>
          <w:sz w:val="24"/>
          <w:szCs w:val="24"/>
        </w:rPr>
      </w:pPr>
    </w:p>
    <w:p w:rsidR="00BA6061" w:rsidRDefault="00BA6061">
      <w:pPr>
        <w:pStyle w:val="ad"/>
        <w:numPr>
          <w:ilvl w:val="1"/>
          <w:numId w:val="3"/>
        </w:numPr>
        <w:spacing w:line="360" w:lineRule="auto"/>
        <w:ind w:firstLineChars="0"/>
        <w:jc w:val="left"/>
        <w:rPr>
          <w:rFonts w:ascii="宋体" w:eastAsia="宋体" w:hAnsi="宋体" w:cs="宋体"/>
          <w:vanish/>
          <w:sz w:val="24"/>
          <w:szCs w:val="24"/>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在设计阶段，对滑移施工方案应做专项主体结构设计规划，永久结构的整体设计需兼顾滑移工况的受力和变形控制需要，提升滑移过程的安全性，减少施工临时措施。</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主体结构在滑移方向的板件宜作为滑移过程中的连续支撑。</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滑移单元内构件间</w:t>
      </w:r>
      <w:proofErr w:type="gramStart"/>
      <w:r>
        <w:rPr>
          <w:rFonts w:ascii="宋体" w:eastAsia="宋体" w:hAnsi="宋体" w:cs="宋体" w:hint="eastAsia"/>
          <w:sz w:val="24"/>
          <w:szCs w:val="24"/>
        </w:rPr>
        <w:t>宜设置</w:t>
      </w:r>
      <w:proofErr w:type="gramEnd"/>
      <w:r>
        <w:rPr>
          <w:rFonts w:ascii="宋体" w:eastAsia="宋体" w:hAnsi="宋体" w:cs="宋体" w:hint="eastAsia"/>
          <w:sz w:val="24"/>
          <w:szCs w:val="24"/>
        </w:rPr>
        <w:t>临时连接形成整体受力体系，可采用临时支撑或拉索。</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 依据建筑施工临时支撑结构技术标准关于支撑体系设置原则，工程实践证实临时连接可增强结构整体刚度。</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主体结构的临时连接节点，需结合主体结构原有板件进行设计，与主体结构同步加工。</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节点构造应满足滑移过程特殊受力需求，牵引施力点、支点部位应局部加固。增设的外部加劲肋和临时支撑，在施工完成后应按原结构外观标准修复。</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 现行公路桥涵施工技术标准规定钢梁支点和牵引施力点处宜适当加固。工程实践表明滑移工况节点承受反复荷载，需增加强度储备。</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主体结构设计应预留施工临时开孔区域，临时开孔需避开关键受理部位，且后期易于修复。</w:t>
      </w:r>
    </w:p>
    <w:p w:rsidR="00BA6061" w:rsidRDefault="00610DB9">
      <w:pPr>
        <w:pStyle w:val="2"/>
        <w:keepNext w:val="0"/>
        <w:keepLines w:val="0"/>
        <w:numPr>
          <w:ilvl w:val="1"/>
          <w:numId w:val="1"/>
        </w:numPr>
        <w:spacing w:before="312" w:after="312" w:line="360" w:lineRule="auto"/>
        <w:ind w:left="0" w:firstLine="560"/>
        <w:jc w:val="center"/>
        <w:rPr>
          <w:rFonts w:ascii="黑体" w:hAnsi="黑体" w:cs="黑体"/>
          <w:b w:val="0"/>
          <w:sz w:val="28"/>
          <w:szCs w:val="28"/>
        </w:rPr>
      </w:pPr>
      <w:bookmarkStart w:id="62" w:name="_Toc223533693"/>
      <w:bookmarkStart w:id="63" w:name="_Toc224026611"/>
      <w:r>
        <w:rPr>
          <w:rFonts w:ascii="黑体" w:hAnsi="黑体" w:cs="黑体"/>
          <w:b w:val="0"/>
          <w:sz w:val="28"/>
          <w:szCs w:val="28"/>
        </w:rPr>
        <w:t>临时结构设计</w:t>
      </w:r>
      <w:bookmarkEnd w:id="62"/>
      <w:bookmarkEnd w:id="63"/>
    </w:p>
    <w:p w:rsidR="00BA6061" w:rsidRDefault="00BA6061">
      <w:pPr>
        <w:pStyle w:val="ad"/>
        <w:numPr>
          <w:ilvl w:val="1"/>
          <w:numId w:val="3"/>
        </w:numPr>
        <w:spacing w:line="360" w:lineRule="auto"/>
        <w:ind w:firstLineChars="0"/>
        <w:jc w:val="left"/>
        <w:rPr>
          <w:rFonts w:ascii="宋体" w:eastAsia="宋体" w:hAnsi="宋体" w:cs="宋体"/>
          <w:vanish/>
          <w:sz w:val="24"/>
          <w:szCs w:val="24"/>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滑移装置系统包括滑轨、滑道梁、</w:t>
      </w:r>
      <w:proofErr w:type="gramStart"/>
      <w:r>
        <w:rPr>
          <w:rFonts w:ascii="宋体" w:eastAsia="宋体" w:hAnsi="宋体" w:cs="宋体" w:hint="eastAsia"/>
          <w:sz w:val="24"/>
          <w:szCs w:val="24"/>
        </w:rPr>
        <w:t>滑靴和</w:t>
      </w:r>
      <w:proofErr w:type="gramEnd"/>
      <w:r>
        <w:rPr>
          <w:rFonts w:ascii="宋体" w:eastAsia="宋体" w:hAnsi="宋体" w:cs="宋体" w:hint="eastAsia"/>
          <w:sz w:val="24"/>
          <w:szCs w:val="24"/>
        </w:rPr>
        <w:t>导向装置等。滑轨和滑道梁应具有滑移结构的承载能力，并能承受摩擦力产生的反作用力。</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滑轨的设置应根据滑移单元的重量、跨度和现场条件确定。当滑移单元跨度较大时，宜</w:t>
      </w:r>
      <w:proofErr w:type="gramStart"/>
      <w:r>
        <w:rPr>
          <w:rFonts w:ascii="宋体" w:eastAsia="宋体" w:hAnsi="宋体" w:cs="宋体" w:hint="eastAsia"/>
          <w:sz w:val="24"/>
          <w:szCs w:val="24"/>
        </w:rPr>
        <w:t>在跨中增设</w:t>
      </w:r>
      <w:proofErr w:type="gramEnd"/>
      <w:r>
        <w:rPr>
          <w:rFonts w:ascii="宋体" w:eastAsia="宋体" w:hAnsi="宋体" w:cs="宋体" w:hint="eastAsia"/>
          <w:sz w:val="24"/>
          <w:szCs w:val="24"/>
        </w:rPr>
        <w:t>滑轨，滑移支架上支承点的位置应设在滑移单元的节点处。当滑移单元因增设中间滑轨引起杆件内力方向改变时，应采取临时加固措施以防失稳。</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曲线滑轨应分段设置并调整夹角模拟轨迹，竖曲线滑轨顶面应符合设计高程。</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proofErr w:type="gramStart"/>
      <w:r>
        <w:rPr>
          <w:rFonts w:ascii="宋体" w:eastAsia="宋体" w:hAnsi="宋体" w:cs="宋体" w:hint="eastAsia"/>
          <w:sz w:val="24"/>
          <w:szCs w:val="24"/>
        </w:rPr>
        <w:t>滑轨宜沿滑移</w:t>
      </w:r>
      <w:proofErr w:type="gramEnd"/>
      <w:r>
        <w:rPr>
          <w:rFonts w:ascii="宋体" w:eastAsia="宋体" w:hAnsi="宋体" w:cs="宋体" w:hint="eastAsia"/>
          <w:sz w:val="24"/>
          <w:szCs w:val="24"/>
        </w:rPr>
        <w:t>方向通长设置，可将滑轨直接布置于现有结构构件上；如现有结构不具备条件，可增设支撑装置，在支撑装置上布置轨道。</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滑轨接头应采用等强连接。当采用焊接时，焊缝质量等级不应低于GB 50205规定的二级；当采用高强度螺栓连接时，摩擦面抗滑移系数应符合设计要求。</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钢结构滑移施工可采用槽钢、H型钢或钢轨等作为滑轨。槽钢适用于滑动滑移方式，H型钢或钢轨可适用滑动滑移和滚动滑移两种方式，其规格型号应根据上部荷载并结合安装条件确定，滑轨的构造应能抵抗滑移单元支座的水平推力。</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曲线滑移和超大跨度空间钢结构滑移宜选用滚动滑移方式，当动力充沛且卸载量较大时也可选择滑动滑移方式。</w:t>
      </w:r>
    </w:p>
    <w:p w:rsidR="00BA6061" w:rsidRDefault="00610DB9">
      <w:pPr>
        <w:pStyle w:val="ad"/>
        <w:numPr>
          <w:ilvl w:val="2"/>
          <w:numId w:val="3"/>
        </w:numPr>
        <w:spacing w:line="360" w:lineRule="auto"/>
        <w:ind w:firstLineChars="0"/>
        <w:jc w:val="left"/>
        <w:rPr>
          <w:rFonts w:ascii="宋体" w:eastAsia="宋体" w:hAnsi="宋体" w:cs="宋体"/>
          <w:sz w:val="24"/>
          <w:szCs w:val="24"/>
        </w:rPr>
      </w:pPr>
      <w:r>
        <w:rPr>
          <w:rFonts w:ascii="宋体" w:eastAsia="宋体" w:hAnsi="宋体" w:cs="宋体" w:hint="eastAsia"/>
          <w:sz w:val="24"/>
          <w:szCs w:val="24"/>
        </w:rPr>
        <w:t xml:space="preserve"> </w:t>
      </w:r>
      <w:proofErr w:type="gramStart"/>
      <w:r>
        <w:rPr>
          <w:rFonts w:ascii="宋体" w:eastAsia="宋体" w:hAnsi="宋体" w:cs="宋体" w:hint="eastAsia"/>
          <w:sz w:val="24"/>
          <w:szCs w:val="24"/>
        </w:rPr>
        <w:t>滑靴设置</w:t>
      </w:r>
      <w:proofErr w:type="gramEnd"/>
      <w:r>
        <w:rPr>
          <w:rFonts w:ascii="宋体" w:eastAsia="宋体" w:hAnsi="宋体" w:cs="宋体" w:hint="eastAsia"/>
          <w:sz w:val="24"/>
          <w:szCs w:val="24"/>
        </w:rPr>
        <w:t>应符合下列规定：</w:t>
      </w:r>
    </w:p>
    <w:p w:rsidR="00BA6061" w:rsidRDefault="00610DB9">
      <w:pPr>
        <w:pStyle w:val="ad"/>
        <w:spacing w:line="360" w:lineRule="auto"/>
        <w:ind w:firstLine="482"/>
        <w:jc w:val="left"/>
        <w:rPr>
          <w:rFonts w:ascii="宋体" w:eastAsia="宋体" w:hAnsi="宋体" w:cs="宋体"/>
          <w:sz w:val="24"/>
          <w:szCs w:val="24"/>
        </w:rPr>
      </w:pPr>
      <w:r>
        <w:rPr>
          <w:rFonts w:ascii="宋体" w:eastAsia="宋体" w:hAnsi="宋体" w:cs="宋体" w:hint="eastAsia"/>
          <w:b/>
          <w:sz w:val="24"/>
          <w:szCs w:val="24"/>
        </w:rPr>
        <w:t>1</w:t>
      </w:r>
      <w:r>
        <w:rPr>
          <w:rFonts w:ascii="宋体" w:eastAsia="宋体" w:hAnsi="宋体" w:cs="宋体" w:hint="eastAsia"/>
          <w:sz w:val="24"/>
          <w:szCs w:val="24"/>
        </w:rPr>
        <w:t xml:space="preserve"> </w:t>
      </w:r>
      <w:proofErr w:type="gramStart"/>
      <w:r>
        <w:rPr>
          <w:rFonts w:ascii="宋体" w:eastAsia="宋体" w:hAnsi="宋体" w:cs="宋体" w:hint="eastAsia"/>
          <w:sz w:val="24"/>
          <w:szCs w:val="24"/>
        </w:rPr>
        <w:t>滑靴应</w:t>
      </w:r>
      <w:proofErr w:type="gramEnd"/>
      <w:r>
        <w:rPr>
          <w:rFonts w:ascii="宋体" w:eastAsia="宋体" w:hAnsi="宋体" w:cs="宋体" w:hint="eastAsia"/>
          <w:sz w:val="24"/>
          <w:szCs w:val="24"/>
        </w:rPr>
        <w:t>设置在结构刚度较大部位，如梁体腹板与隔板交界处、桁架节点处；</w:t>
      </w:r>
    </w:p>
    <w:p w:rsidR="00BA6061" w:rsidRDefault="00610DB9">
      <w:pPr>
        <w:pStyle w:val="ad"/>
        <w:spacing w:line="360" w:lineRule="auto"/>
        <w:ind w:firstLine="482"/>
        <w:jc w:val="left"/>
        <w:rPr>
          <w:rFonts w:ascii="宋体" w:eastAsia="宋体" w:hAnsi="宋体" w:cs="宋体"/>
          <w:sz w:val="24"/>
          <w:szCs w:val="24"/>
        </w:rPr>
      </w:pPr>
      <w:r>
        <w:rPr>
          <w:rFonts w:ascii="宋体" w:eastAsia="宋体" w:hAnsi="宋体" w:cs="宋体" w:hint="eastAsia"/>
          <w:b/>
          <w:sz w:val="24"/>
          <w:szCs w:val="24"/>
        </w:rPr>
        <w:t>2</w:t>
      </w:r>
      <w:r>
        <w:rPr>
          <w:rFonts w:ascii="宋体" w:eastAsia="宋体" w:hAnsi="宋体" w:cs="宋体" w:hint="eastAsia"/>
          <w:sz w:val="24"/>
          <w:szCs w:val="24"/>
        </w:rPr>
        <w:t xml:space="preserve"> </w:t>
      </w:r>
      <w:proofErr w:type="gramStart"/>
      <w:r>
        <w:rPr>
          <w:rFonts w:ascii="宋体" w:eastAsia="宋体" w:hAnsi="宋体" w:cs="宋体" w:hint="eastAsia"/>
          <w:sz w:val="24"/>
          <w:szCs w:val="24"/>
        </w:rPr>
        <w:t>滑靴数量</w:t>
      </w:r>
      <w:proofErr w:type="gramEnd"/>
      <w:r>
        <w:rPr>
          <w:rFonts w:ascii="宋体" w:eastAsia="宋体" w:hAnsi="宋体" w:cs="宋体" w:hint="eastAsia"/>
          <w:sz w:val="24"/>
          <w:szCs w:val="24"/>
        </w:rPr>
        <w:t>与间距应经结构分析确定；</w:t>
      </w:r>
    </w:p>
    <w:p w:rsidR="00BA6061" w:rsidRDefault="00610DB9">
      <w:pPr>
        <w:pStyle w:val="ad"/>
        <w:spacing w:line="360" w:lineRule="auto"/>
        <w:ind w:firstLine="482"/>
        <w:jc w:val="left"/>
        <w:rPr>
          <w:rFonts w:ascii="宋体" w:eastAsia="宋体" w:hAnsi="宋体" w:cs="宋体"/>
          <w:sz w:val="24"/>
          <w:szCs w:val="24"/>
        </w:rPr>
      </w:pPr>
      <w:r>
        <w:rPr>
          <w:rFonts w:ascii="宋体" w:eastAsia="宋体" w:hAnsi="宋体" w:cs="宋体" w:hint="eastAsia"/>
          <w:b/>
          <w:sz w:val="24"/>
          <w:szCs w:val="24"/>
        </w:rPr>
        <w:t>3</w:t>
      </w:r>
      <w:r>
        <w:rPr>
          <w:rFonts w:ascii="宋体" w:eastAsia="宋体" w:hAnsi="宋体" w:cs="宋体" w:hint="eastAsia"/>
          <w:sz w:val="24"/>
          <w:szCs w:val="24"/>
        </w:rPr>
        <w:t xml:space="preserve"> </w:t>
      </w:r>
      <w:proofErr w:type="gramStart"/>
      <w:r>
        <w:rPr>
          <w:rFonts w:ascii="宋体" w:eastAsia="宋体" w:hAnsi="宋体" w:cs="宋体" w:hint="eastAsia"/>
          <w:sz w:val="24"/>
          <w:szCs w:val="24"/>
        </w:rPr>
        <w:t>滑靴构造</w:t>
      </w:r>
      <w:proofErr w:type="gramEnd"/>
      <w:r>
        <w:rPr>
          <w:rFonts w:ascii="宋体" w:eastAsia="宋体" w:hAnsi="宋体" w:cs="宋体" w:hint="eastAsia"/>
          <w:sz w:val="24"/>
          <w:szCs w:val="24"/>
        </w:rPr>
        <w:t>应包括橡胶垫板、钢垫块、滑板（MGE板或四氟板）、导向限位装置；</w:t>
      </w:r>
    </w:p>
    <w:p w:rsidR="00BA6061" w:rsidRDefault="00610DB9">
      <w:pPr>
        <w:pStyle w:val="ad"/>
        <w:spacing w:line="360" w:lineRule="auto"/>
        <w:ind w:firstLine="482"/>
        <w:jc w:val="left"/>
        <w:rPr>
          <w:rFonts w:ascii="宋体" w:eastAsia="宋体" w:hAnsi="宋体" w:cs="宋体"/>
          <w:sz w:val="24"/>
          <w:szCs w:val="24"/>
        </w:rPr>
      </w:pPr>
      <w:r>
        <w:rPr>
          <w:rFonts w:ascii="宋体" w:eastAsia="宋体" w:hAnsi="宋体" w:cs="宋体" w:hint="eastAsia"/>
          <w:b/>
          <w:sz w:val="24"/>
          <w:szCs w:val="24"/>
        </w:rPr>
        <w:t>4</w:t>
      </w:r>
      <w:r>
        <w:rPr>
          <w:rFonts w:ascii="宋体" w:eastAsia="宋体" w:hAnsi="宋体" w:cs="宋体" w:hint="eastAsia"/>
          <w:sz w:val="24"/>
          <w:szCs w:val="24"/>
        </w:rPr>
        <w:t xml:space="preserve"> </w:t>
      </w:r>
      <w:proofErr w:type="gramStart"/>
      <w:r>
        <w:rPr>
          <w:rFonts w:ascii="宋体" w:eastAsia="宋体" w:hAnsi="宋体" w:cs="宋体" w:hint="eastAsia"/>
          <w:sz w:val="24"/>
          <w:szCs w:val="24"/>
        </w:rPr>
        <w:t>滑靴顶部</w:t>
      </w:r>
      <w:proofErr w:type="gramEnd"/>
      <w:r>
        <w:rPr>
          <w:rFonts w:ascii="宋体" w:eastAsia="宋体" w:hAnsi="宋体" w:cs="宋体" w:hint="eastAsia"/>
          <w:sz w:val="24"/>
          <w:szCs w:val="24"/>
        </w:rPr>
        <w:t>标高应考虑结构预拱度进行调整；</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proofErr w:type="gramStart"/>
      <w:r>
        <w:rPr>
          <w:rFonts w:ascii="宋体" w:eastAsia="宋体" w:hAnsi="宋体" w:cs="宋体" w:hint="eastAsia"/>
          <w:sz w:val="24"/>
          <w:szCs w:val="24"/>
        </w:rPr>
        <w:t>滑靴与</w:t>
      </w:r>
      <w:proofErr w:type="gramEnd"/>
      <w:r>
        <w:rPr>
          <w:rFonts w:ascii="宋体" w:eastAsia="宋体" w:hAnsi="宋体" w:cs="宋体" w:hint="eastAsia"/>
          <w:sz w:val="24"/>
          <w:szCs w:val="24"/>
        </w:rPr>
        <w:t>梁体应采用焊接、高强度螺栓或限位板可靠连接，有效传递水平力与竖向力，避免应力集中。</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proofErr w:type="gramStart"/>
      <w:r>
        <w:rPr>
          <w:rFonts w:ascii="宋体" w:eastAsia="宋体" w:hAnsi="宋体" w:cs="宋体" w:hint="eastAsia"/>
          <w:sz w:val="24"/>
          <w:szCs w:val="24"/>
        </w:rPr>
        <w:t>滑靴连接方式</w:t>
      </w:r>
      <w:proofErr w:type="gramEnd"/>
      <w:r>
        <w:rPr>
          <w:rFonts w:ascii="宋体" w:eastAsia="宋体" w:hAnsi="宋体" w:cs="宋体" w:hint="eastAsia"/>
          <w:sz w:val="24"/>
          <w:szCs w:val="24"/>
        </w:rPr>
        <w:t>应便于安拆并最小化对结构损伤。</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应设置导向装置限制横向位移，曲线滑移应适应转角与位移要求。</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不同步效应分析应采用有限元法模拟不同步工况，计算附加应力与变形，分析多点不同步及不同步程度递增工况。</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sz w:val="24"/>
          <w:szCs w:val="24"/>
        </w:rPr>
        <w:t>滑轨支墩设计应符合下列规定：</w:t>
      </w:r>
    </w:p>
    <w:p w:rsidR="00BA6061" w:rsidRDefault="00610DB9">
      <w:pPr>
        <w:pStyle w:val="ad"/>
        <w:spacing w:line="360" w:lineRule="auto"/>
        <w:ind w:firstLine="482"/>
        <w:jc w:val="left"/>
        <w:rPr>
          <w:rFonts w:ascii="宋体" w:eastAsia="宋体" w:hAnsi="宋体" w:cs="宋体"/>
          <w:sz w:val="24"/>
          <w:szCs w:val="24"/>
        </w:rPr>
      </w:pPr>
      <w:r>
        <w:rPr>
          <w:rFonts w:ascii="宋体" w:eastAsia="宋体" w:hAnsi="宋体" w:cs="宋体"/>
          <w:b/>
          <w:sz w:val="24"/>
          <w:szCs w:val="24"/>
        </w:rPr>
        <w:t>1</w:t>
      </w:r>
      <w:r>
        <w:rPr>
          <w:rFonts w:ascii="宋体" w:eastAsia="宋体" w:hAnsi="宋体" w:cs="宋体"/>
          <w:sz w:val="24"/>
          <w:szCs w:val="24"/>
        </w:rPr>
        <w:t xml:space="preserve"> 滑轨支墩应进行专项设计，并由具有相关资质的第三方进行验算；</w:t>
      </w:r>
    </w:p>
    <w:p w:rsidR="00BA6061" w:rsidRDefault="00610DB9">
      <w:pPr>
        <w:pStyle w:val="ad"/>
        <w:spacing w:line="360" w:lineRule="auto"/>
        <w:ind w:firstLine="482"/>
        <w:jc w:val="left"/>
        <w:rPr>
          <w:rFonts w:ascii="宋体" w:eastAsia="宋体" w:hAnsi="宋体" w:cs="宋体"/>
          <w:sz w:val="24"/>
          <w:szCs w:val="24"/>
        </w:rPr>
      </w:pPr>
      <w:r>
        <w:rPr>
          <w:rFonts w:ascii="宋体" w:eastAsia="宋体" w:hAnsi="宋体" w:cs="宋体"/>
          <w:b/>
          <w:sz w:val="24"/>
          <w:szCs w:val="24"/>
        </w:rPr>
        <w:t>2</w:t>
      </w:r>
      <w:r>
        <w:rPr>
          <w:rFonts w:ascii="宋体" w:eastAsia="宋体" w:hAnsi="宋体" w:cs="宋体"/>
          <w:sz w:val="24"/>
          <w:szCs w:val="24"/>
        </w:rPr>
        <w:t xml:space="preserve"> 支墩数量和位置应根据滑移施工承载力计算确定，应满足结构纵横向移动和高程调整的要求； </w:t>
      </w:r>
    </w:p>
    <w:p w:rsidR="00BA6061" w:rsidRDefault="00610DB9">
      <w:pPr>
        <w:pStyle w:val="ad"/>
        <w:spacing w:line="360" w:lineRule="auto"/>
        <w:ind w:firstLine="482"/>
        <w:jc w:val="left"/>
        <w:rPr>
          <w:rFonts w:ascii="宋体" w:eastAsia="宋体" w:hAnsi="宋体" w:cs="宋体"/>
          <w:sz w:val="24"/>
          <w:szCs w:val="24"/>
        </w:rPr>
      </w:pPr>
      <w:r>
        <w:rPr>
          <w:rFonts w:ascii="宋体" w:eastAsia="宋体" w:hAnsi="宋体" w:cs="宋体"/>
          <w:b/>
          <w:sz w:val="24"/>
          <w:szCs w:val="24"/>
        </w:rPr>
        <w:t>3</w:t>
      </w:r>
      <w:r>
        <w:rPr>
          <w:rFonts w:ascii="宋体" w:eastAsia="宋体" w:hAnsi="宋体" w:cs="宋体"/>
          <w:sz w:val="24"/>
          <w:szCs w:val="24"/>
        </w:rPr>
        <w:t xml:space="preserve"> 支墩使用的型钢、钢管等原材料</w:t>
      </w:r>
      <w:proofErr w:type="gramStart"/>
      <w:r>
        <w:rPr>
          <w:rFonts w:ascii="宋体" w:eastAsia="宋体" w:hAnsi="宋体" w:cs="宋体"/>
          <w:sz w:val="24"/>
          <w:szCs w:val="24"/>
        </w:rPr>
        <w:t>应验收</w:t>
      </w:r>
      <w:proofErr w:type="gramEnd"/>
      <w:r>
        <w:rPr>
          <w:rFonts w:ascii="宋体" w:eastAsia="宋体" w:hAnsi="宋体" w:cs="宋体"/>
          <w:sz w:val="24"/>
          <w:szCs w:val="24"/>
        </w:rPr>
        <w:t xml:space="preserve">合格，连接焊缝质量不应低于二级； </w:t>
      </w:r>
    </w:p>
    <w:p w:rsidR="00BA6061" w:rsidRDefault="00610DB9">
      <w:pPr>
        <w:pStyle w:val="ad"/>
        <w:spacing w:line="360" w:lineRule="auto"/>
        <w:ind w:firstLine="482"/>
        <w:jc w:val="left"/>
        <w:rPr>
          <w:rFonts w:ascii="宋体" w:eastAsia="宋体" w:hAnsi="宋体" w:cs="宋体"/>
          <w:sz w:val="24"/>
          <w:szCs w:val="24"/>
        </w:rPr>
      </w:pPr>
      <w:r>
        <w:rPr>
          <w:rFonts w:ascii="宋体" w:eastAsia="宋体" w:hAnsi="宋体" w:cs="宋体"/>
          <w:b/>
          <w:sz w:val="24"/>
          <w:szCs w:val="24"/>
        </w:rPr>
        <w:t>4</w:t>
      </w:r>
      <w:r>
        <w:rPr>
          <w:rFonts w:ascii="宋体" w:eastAsia="宋体" w:hAnsi="宋体" w:cs="宋体"/>
          <w:sz w:val="24"/>
          <w:szCs w:val="24"/>
        </w:rPr>
        <w:t xml:space="preserve"> 应对支墩立柱、分配梁、连接系进行强度、刚度和稳定性验算； </w:t>
      </w:r>
    </w:p>
    <w:p w:rsidR="00BA6061" w:rsidRDefault="00610DB9">
      <w:pPr>
        <w:pStyle w:val="ad"/>
        <w:spacing w:line="360" w:lineRule="auto"/>
        <w:ind w:firstLine="482"/>
        <w:jc w:val="left"/>
        <w:rPr>
          <w:rFonts w:ascii="宋体" w:eastAsia="宋体" w:hAnsi="宋体" w:cs="宋体"/>
          <w:sz w:val="24"/>
          <w:szCs w:val="24"/>
        </w:rPr>
      </w:pPr>
      <w:r>
        <w:rPr>
          <w:rFonts w:ascii="宋体" w:eastAsia="宋体" w:hAnsi="宋体" w:cs="宋体"/>
          <w:b/>
          <w:sz w:val="24"/>
          <w:szCs w:val="24"/>
        </w:rPr>
        <w:t>5</w:t>
      </w:r>
      <w:r>
        <w:rPr>
          <w:rFonts w:ascii="宋体" w:eastAsia="宋体" w:hAnsi="宋体" w:cs="宋体"/>
          <w:sz w:val="24"/>
          <w:szCs w:val="24"/>
        </w:rPr>
        <w:t xml:space="preserve"> 支墩基础应根据地基条件确定，采用扩大基础时应验算地基承载力、抗弯承载力、抗冲切承载力和局部抗压承载力；采用桩基础时应进行工艺试桩和承载力试验； </w:t>
      </w:r>
    </w:p>
    <w:p w:rsidR="00BA6061" w:rsidRDefault="00610DB9">
      <w:pPr>
        <w:pStyle w:val="ad"/>
        <w:spacing w:line="360" w:lineRule="auto"/>
        <w:ind w:firstLine="482"/>
        <w:jc w:val="left"/>
        <w:rPr>
          <w:rFonts w:ascii="宋体" w:eastAsia="宋体" w:hAnsi="宋体" w:cs="宋体"/>
          <w:sz w:val="24"/>
          <w:szCs w:val="24"/>
        </w:rPr>
      </w:pPr>
      <w:r>
        <w:rPr>
          <w:rFonts w:ascii="宋体" w:eastAsia="宋体" w:hAnsi="宋体" w:cs="宋体"/>
          <w:b/>
          <w:sz w:val="24"/>
          <w:szCs w:val="24"/>
        </w:rPr>
        <w:t>6</w:t>
      </w:r>
      <w:r>
        <w:rPr>
          <w:rFonts w:ascii="宋体" w:eastAsia="宋体" w:hAnsi="宋体" w:cs="宋体"/>
          <w:sz w:val="24"/>
          <w:szCs w:val="24"/>
        </w:rPr>
        <w:t xml:space="preserve"> 支墩顶面应设置纵横向分配梁，并应设置纵横向联结系形成整体稳定结构； </w:t>
      </w:r>
    </w:p>
    <w:p w:rsidR="00BA6061" w:rsidRDefault="00610DB9">
      <w:pPr>
        <w:pStyle w:val="ad"/>
        <w:spacing w:line="360" w:lineRule="auto"/>
        <w:ind w:firstLine="482"/>
        <w:jc w:val="left"/>
        <w:rPr>
          <w:rFonts w:ascii="宋体" w:eastAsia="宋体" w:hAnsi="宋体" w:cs="宋体"/>
          <w:sz w:val="24"/>
          <w:szCs w:val="24"/>
        </w:rPr>
      </w:pPr>
      <w:r>
        <w:rPr>
          <w:rFonts w:ascii="宋体" w:eastAsia="宋体" w:hAnsi="宋体" w:cs="宋体"/>
          <w:b/>
          <w:sz w:val="24"/>
          <w:szCs w:val="24"/>
        </w:rPr>
        <w:t>7</w:t>
      </w:r>
      <w:r>
        <w:rPr>
          <w:rFonts w:ascii="宋体" w:eastAsia="宋体" w:hAnsi="宋体" w:cs="宋体"/>
          <w:sz w:val="24"/>
          <w:szCs w:val="24"/>
        </w:rPr>
        <w:t xml:space="preserve"> 跨路、跨航道布设支墩时，应设置安全警示标志和防撞设施； </w:t>
      </w:r>
    </w:p>
    <w:p w:rsidR="00BA6061" w:rsidRDefault="00610DB9">
      <w:pPr>
        <w:pStyle w:val="ad"/>
        <w:spacing w:line="360" w:lineRule="auto"/>
        <w:ind w:firstLine="482"/>
        <w:jc w:val="left"/>
        <w:rPr>
          <w:rFonts w:ascii="宋体" w:eastAsia="宋体" w:hAnsi="宋体" w:cs="宋体"/>
          <w:sz w:val="24"/>
          <w:szCs w:val="24"/>
        </w:rPr>
      </w:pPr>
      <w:r>
        <w:rPr>
          <w:rFonts w:ascii="宋体" w:eastAsia="宋体" w:hAnsi="宋体" w:cs="宋体"/>
          <w:b/>
          <w:sz w:val="24"/>
          <w:szCs w:val="24"/>
        </w:rPr>
        <w:t>8</w:t>
      </w:r>
      <w:r>
        <w:rPr>
          <w:rFonts w:ascii="宋体" w:eastAsia="宋体" w:hAnsi="宋体" w:cs="宋体"/>
          <w:sz w:val="24"/>
          <w:szCs w:val="24"/>
        </w:rPr>
        <w:t xml:space="preserve"> 施工过程中应监测支墩变形及地基沉降，超过允许值时应暂停施工并采取有效措施。</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对于具有拱形效应的滑移单元，应采用消除横向水平推力的施工措施，可在支座处设置临时横向止推结构，且该止</w:t>
      </w:r>
      <w:proofErr w:type="gramStart"/>
      <w:r>
        <w:rPr>
          <w:rFonts w:ascii="宋体" w:eastAsia="宋体" w:hAnsi="宋体" w:cs="宋体" w:hint="eastAsia"/>
          <w:sz w:val="24"/>
          <w:szCs w:val="24"/>
        </w:rPr>
        <w:t>推结构</w:t>
      </w:r>
      <w:proofErr w:type="gramEnd"/>
      <w:r>
        <w:rPr>
          <w:rFonts w:ascii="宋体" w:eastAsia="宋体" w:hAnsi="宋体" w:cs="宋体" w:hint="eastAsia"/>
          <w:sz w:val="24"/>
          <w:szCs w:val="24"/>
        </w:rPr>
        <w:t>不应影响正常的滑移施工。</w:t>
      </w:r>
    </w:p>
    <w:p w:rsidR="00BA6061" w:rsidRDefault="00610DB9">
      <w:pPr>
        <w:pStyle w:val="2"/>
        <w:keepNext w:val="0"/>
        <w:keepLines w:val="0"/>
        <w:numPr>
          <w:ilvl w:val="1"/>
          <w:numId w:val="1"/>
        </w:numPr>
        <w:spacing w:before="312" w:after="312" w:line="360" w:lineRule="auto"/>
        <w:ind w:left="0" w:firstLine="560"/>
        <w:jc w:val="center"/>
        <w:rPr>
          <w:rFonts w:ascii="黑体" w:hAnsi="黑体" w:cs="黑体"/>
          <w:b w:val="0"/>
          <w:sz w:val="28"/>
          <w:szCs w:val="28"/>
        </w:rPr>
      </w:pPr>
      <w:bookmarkStart w:id="64" w:name="_Toc223533694"/>
      <w:bookmarkStart w:id="65" w:name="_Toc224026612"/>
      <w:r>
        <w:rPr>
          <w:rFonts w:ascii="黑体" w:hAnsi="黑体" w:cs="黑体"/>
          <w:b w:val="0"/>
          <w:sz w:val="28"/>
          <w:szCs w:val="28"/>
        </w:rPr>
        <w:t>机具设备要求</w:t>
      </w:r>
      <w:bookmarkEnd w:id="64"/>
      <w:bookmarkEnd w:id="65"/>
    </w:p>
    <w:p w:rsidR="00BA6061" w:rsidRDefault="00BA6061">
      <w:pPr>
        <w:pStyle w:val="ad"/>
        <w:numPr>
          <w:ilvl w:val="1"/>
          <w:numId w:val="3"/>
        </w:numPr>
        <w:spacing w:line="360" w:lineRule="auto"/>
        <w:ind w:firstLineChars="0"/>
        <w:jc w:val="left"/>
        <w:rPr>
          <w:rFonts w:ascii="宋体" w:eastAsia="宋体" w:hAnsi="宋体" w:cs="宋体"/>
          <w:vanish/>
          <w:sz w:val="24"/>
          <w:szCs w:val="24"/>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液压同步系统配套位移传感器的测量误差不应大于0.1%FS，分辨率不应低于0.01mm。对安全等级为一级或跨度大于100m的结构，测量误差不应大于0.05%FS，分辨率不应低于0.005mm。传感器量程应大于最大行程的1.2倍。</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液压同步系统应具备</w:t>
      </w:r>
      <w:proofErr w:type="gramStart"/>
      <w:r>
        <w:rPr>
          <w:rFonts w:ascii="宋体" w:eastAsia="宋体" w:hAnsi="宋体" w:cs="宋体" w:hint="eastAsia"/>
          <w:sz w:val="24"/>
          <w:szCs w:val="24"/>
        </w:rPr>
        <w:t>手动与</w:t>
      </w:r>
      <w:proofErr w:type="gramEnd"/>
      <w:r>
        <w:rPr>
          <w:rFonts w:ascii="宋体" w:eastAsia="宋体" w:hAnsi="宋体" w:cs="宋体" w:hint="eastAsia"/>
          <w:sz w:val="24"/>
          <w:szCs w:val="24"/>
        </w:rPr>
        <w:t>自动控制模式，设有过载保护、行</w:t>
      </w:r>
      <w:proofErr w:type="gramStart"/>
      <w:r>
        <w:rPr>
          <w:rFonts w:ascii="宋体" w:eastAsia="宋体" w:hAnsi="宋体" w:cs="宋体" w:hint="eastAsia"/>
          <w:sz w:val="24"/>
          <w:szCs w:val="24"/>
        </w:rPr>
        <w:t>程限位</w:t>
      </w:r>
      <w:proofErr w:type="gramEnd"/>
      <w:r>
        <w:rPr>
          <w:rFonts w:ascii="宋体" w:eastAsia="宋体" w:hAnsi="宋体" w:cs="宋体" w:hint="eastAsia"/>
          <w:sz w:val="24"/>
          <w:szCs w:val="24"/>
        </w:rPr>
        <w:t>及紧急停止等安全保护功能。</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液压同步系统</w:t>
      </w:r>
      <w:proofErr w:type="gramStart"/>
      <w:r>
        <w:rPr>
          <w:rFonts w:ascii="宋体" w:eastAsia="宋体" w:hAnsi="宋体" w:cs="宋体" w:hint="eastAsia"/>
          <w:sz w:val="24"/>
          <w:szCs w:val="24"/>
        </w:rPr>
        <w:t>宜支持</w:t>
      </w:r>
      <w:proofErr w:type="gramEnd"/>
      <w:r>
        <w:rPr>
          <w:rFonts w:ascii="宋体" w:eastAsia="宋体" w:hAnsi="宋体" w:cs="宋体" w:hint="eastAsia"/>
          <w:sz w:val="24"/>
          <w:szCs w:val="24"/>
        </w:rPr>
        <w:t>功能扩展及与其他施工管理系统数据交互，操作界面应简洁直观。</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顶推/牵引设备额定承载力不应小于计算需求动力的1.5倍，重要结构不应小于1.8倍。行程应满足单次滑移距离要求，工作速度应与滑移速度匹配。</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设备应通过出厂检验及现场调试，可靠度应满足施工安全等级要求，具备快速与慢速调节功能，同步性能应与控制系统匹配。</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设备应设置安全阀、制动器等保护装置，维护保养应便利。</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正式滑移施工前应进行试滑移，并应符合下列规定：</w:t>
      </w:r>
    </w:p>
    <w:p w:rsidR="00BA6061" w:rsidRDefault="00610DB9">
      <w:pPr>
        <w:pStyle w:val="ad"/>
        <w:spacing w:line="360" w:lineRule="auto"/>
        <w:ind w:firstLine="482"/>
        <w:jc w:val="left"/>
        <w:rPr>
          <w:rFonts w:ascii="宋体" w:eastAsia="宋体" w:hAnsi="宋体" w:cs="宋体"/>
          <w:sz w:val="24"/>
          <w:szCs w:val="24"/>
        </w:rPr>
      </w:pPr>
      <w:r>
        <w:rPr>
          <w:rFonts w:ascii="宋体" w:eastAsia="宋体" w:hAnsi="宋体" w:cs="宋体"/>
          <w:b/>
          <w:sz w:val="24"/>
          <w:szCs w:val="24"/>
        </w:rPr>
        <w:t>1</w:t>
      </w:r>
      <w:r>
        <w:rPr>
          <w:rFonts w:ascii="宋体" w:eastAsia="宋体" w:hAnsi="宋体" w:cs="宋体"/>
          <w:sz w:val="24"/>
          <w:szCs w:val="24"/>
        </w:rPr>
        <w:t xml:space="preserve"> 试滑移距离不宜小于5m；</w:t>
      </w:r>
    </w:p>
    <w:p w:rsidR="00BA6061" w:rsidRDefault="00610DB9">
      <w:pPr>
        <w:pStyle w:val="ad"/>
        <w:spacing w:line="360" w:lineRule="auto"/>
        <w:ind w:firstLine="482"/>
        <w:jc w:val="left"/>
        <w:rPr>
          <w:rFonts w:ascii="宋体" w:eastAsia="宋体" w:hAnsi="宋体" w:cs="宋体"/>
          <w:sz w:val="24"/>
          <w:szCs w:val="24"/>
        </w:rPr>
      </w:pPr>
      <w:r>
        <w:rPr>
          <w:rFonts w:ascii="宋体" w:eastAsia="宋体" w:hAnsi="宋体" w:cs="宋体"/>
          <w:b/>
          <w:sz w:val="24"/>
          <w:szCs w:val="24"/>
        </w:rPr>
        <w:t>2</w:t>
      </w:r>
      <w:r>
        <w:rPr>
          <w:rFonts w:ascii="宋体" w:eastAsia="宋体" w:hAnsi="宋体" w:cs="宋体"/>
          <w:sz w:val="24"/>
          <w:szCs w:val="24"/>
        </w:rPr>
        <w:t xml:space="preserve"> 检验牵引动力系统性能、同步控制系统精度、</w:t>
      </w:r>
      <w:proofErr w:type="gramStart"/>
      <w:r>
        <w:rPr>
          <w:rFonts w:ascii="宋体" w:eastAsia="宋体" w:hAnsi="宋体" w:cs="宋体"/>
          <w:sz w:val="24"/>
          <w:szCs w:val="24"/>
        </w:rPr>
        <w:t>滑靴与</w:t>
      </w:r>
      <w:proofErr w:type="gramEnd"/>
      <w:r>
        <w:rPr>
          <w:rFonts w:ascii="宋体" w:eastAsia="宋体" w:hAnsi="宋体" w:cs="宋体"/>
          <w:sz w:val="24"/>
          <w:szCs w:val="24"/>
        </w:rPr>
        <w:t xml:space="preserve">滑轨配合情况； </w:t>
      </w:r>
    </w:p>
    <w:p w:rsidR="00BA6061" w:rsidRDefault="00610DB9">
      <w:pPr>
        <w:pStyle w:val="ad"/>
        <w:spacing w:line="360" w:lineRule="auto"/>
        <w:ind w:firstLine="482"/>
        <w:jc w:val="left"/>
        <w:rPr>
          <w:rFonts w:ascii="宋体" w:eastAsia="宋体" w:hAnsi="宋体" w:cs="宋体"/>
          <w:sz w:val="24"/>
          <w:szCs w:val="24"/>
        </w:rPr>
      </w:pPr>
      <w:r>
        <w:rPr>
          <w:rFonts w:ascii="宋体" w:eastAsia="宋体" w:hAnsi="宋体" w:cs="宋体"/>
          <w:b/>
          <w:sz w:val="24"/>
          <w:szCs w:val="24"/>
        </w:rPr>
        <w:t>3</w:t>
      </w:r>
      <w:r>
        <w:rPr>
          <w:rFonts w:ascii="宋体" w:eastAsia="宋体" w:hAnsi="宋体" w:cs="宋体"/>
          <w:sz w:val="24"/>
          <w:szCs w:val="24"/>
        </w:rPr>
        <w:t xml:space="preserve"> 测定实际摩擦系数，校核牵引力/顶推力计算；</w:t>
      </w:r>
    </w:p>
    <w:p w:rsidR="00BA6061" w:rsidRDefault="00610DB9">
      <w:pPr>
        <w:pStyle w:val="ad"/>
        <w:numPr>
          <w:ilvl w:val="3"/>
          <w:numId w:val="7"/>
        </w:numPr>
        <w:spacing w:line="360" w:lineRule="auto"/>
        <w:ind w:firstLineChars="0"/>
        <w:jc w:val="left"/>
        <w:rPr>
          <w:rFonts w:ascii="宋体" w:eastAsia="宋体" w:hAnsi="宋体" w:cs="宋体"/>
          <w:sz w:val="24"/>
          <w:szCs w:val="24"/>
        </w:rPr>
      </w:pPr>
      <w:r>
        <w:rPr>
          <w:rFonts w:ascii="宋体" w:eastAsia="宋体" w:hAnsi="宋体" w:cs="宋体"/>
          <w:sz w:val="24"/>
          <w:szCs w:val="24"/>
        </w:rPr>
        <w:t>检验导向装置和纠偏系统有效性；</w:t>
      </w:r>
    </w:p>
    <w:p w:rsidR="00BA6061" w:rsidRDefault="00610DB9">
      <w:pPr>
        <w:pStyle w:val="ad"/>
        <w:numPr>
          <w:ilvl w:val="3"/>
          <w:numId w:val="7"/>
        </w:numPr>
        <w:spacing w:line="360" w:lineRule="auto"/>
        <w:ind w:firstLineChars="0"/>
        <w:jc w:val="left"/>
        <w:rPr>
          <w:rFonts w:ascii="宋体" w:eastAsia="宋体" w:hAnsi="宋体" w:cs="宋体"/>
          <w:sz w:val="24"/>
          <w:szCs w:val="24"/>
        </w:rPr>
      </w:pPr>
      <w:r>
        <w:rPr>
          <w:rFonts w:ascii="宋体" w:eastAsia="宋体" w:hAnsi="宋体" w:cs="宋体"/>
          <w:sz w:val="24"/>
          <w:szCs w:val="24"/>
        </w:rPr>
        <w:t>试滑移合格后方可进行正式滑移施工。</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结构单元滑移速度不宜超过0.25m/min。确需提速时，应进行动力时</w:t>
      </w:r>
      <w:proofErr w:type="gramStart"/>
      <w:r>
        <w:rPr>
          <w:rFonts w:ascii="宋体" w:eastAsia="宋体" w:hAnsi="宋体" w:cs="宋体" w:hint="eastAsia"/>
          <w:sz w:val="24"/>
          <w:szCs w:val="24"/>
        </w:rPr>
        <w:t>程分析</w:t>
      </w:r>
      <w:proofErr w:type="gramEnd"/>
      <w:r>
        <w:rPr>
          <w:rFonts w:ascii="宋体" w:eastAsia="宋体" w:hAnsi="宋体" w:cs="宋体" w:hint="eastAsia"/>
          <w:sz w:val="24"/>
          <w:szCs w:val="24"/>
        </w:rPr>
        <w:t>并设置实时振动监测系统，最高速度不应超过0.5m/min。</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滑移施工各牵引点位移同步精度不应大于5mm，同墩两侧牵引点位移差不应大于4mm。对曲线滑移、特大跨度结构，各牵引点位移同步精度不应大于3mm，同墩两侧不应大于2mm。</w:t>
      </w:r>
    </w:p>
    <w:p w:rsidR="00BA6061" w:rsidRDefault="00610DB9">
      <w:pPr>
        <w:pStyle w:val="2"/>
        <w:keepNext w:val="0"/>
        <w:keepLines w:val="0"/>
        <w:numPr>
          <w:ilvl w:val="1"/>
          <w:numId w:val="1"/>
        </w:numPr>
        <w:spacing w:before="312" w:after="312" w:line="360" w:lineRule="auto"/>
        <w:ind w:left="0" w:firstLine="560"/>
        <w:jc w:val="center"/>
        <w:rPr>
          <w:rFonts w:ascii="黑体" w:hAnsi="黑体" w:cs="黑体"/>
          <w:b w:val="0"/>
          <w:sz w:val="28"/>
          <w:szCs w:val="28"/>
        </w:rPr>
      </w:pPr>
      <w:bookmarkStart w:id="66" w:name="_Toc223533695"/>
      <w:bookmarkStart w:id="67" w:name="_Toc224026613"/>
      <w:r>
        <w:rPr>
          <w:rFonts w:ascii="黑体" w:hAnsi="黑体" w:cs="黑体"/>
          <w:b w:val="0"/>
          <w:sz w:val="28"/>
          <w:szCs w:val="28"/>
        </w:rPr>
        <w:t>结构计算</w:t>
      </w:r>
      <w:bookmarkEnd w:id="66"/>
      <w:bookmarkEnd w:id="67"/>
    </w:p>
    <w:p w:rsidR="00BA6061" w:rsidRDefault="00BA6061">
      <w:pPr>
        <w:pStyle w:val="ad"/>
        <w:numPr>
          <w:ilvl w:val="1"/>
          <w:numId w:val="3"/>
        </w:numPr>
        <w:spacing w:line="360" w:lineRule="auto"/>
        <w:ind w:firstLineChars="0"/>
        <w:jc w:val="left"/>
        <w:rPr>
          <w:rFonts w:ascii="宋体" w:eastAsia="宋体" w:hAnsi="宋体" w:cs="宋体"/>
          <w:vanish/>
          <w:sz w:val="24"/>
          <w:szCs w:val="24"/>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同步滑移计算工况应包括滑移前拼装完成工况、</w:t>
      </w:r>
      <w:proofErr w:type="gramStart"/>
      <w:r>
        <w:rPr>
          <w:rFonts w:ascii="宋体" w:eastAsia="宋体" w:hAnsi="宋体" w:cs="宋体" w:hint="eastAsia"/>
          <w:sz w:val="24"/>
          <w:szCs w:val="24"/>
        </w:rPr>
        <w:t>滑移全</w:t>
      </w:r>
      <w:proofErr w:type="gramEnd"/>
      <w:r>
        <w:rPr>
          <w:rFonts w:ascii="宋体" w:eastAsia="宋体" w:hAnsi="宋体" w:cs="宋体" w:hint="eastAsia"/>
          <w:sz w:val="24"/>
          <w:szCs w:val="24"/>
        </w:rPr>
        <w:t>过程各控制工况、就位及支架拆除等工况，</w:t>
      </w:r>
      <w:proofErr w:type="gramStart"/>
      <w:r>
        <w:rPr>
          <w:rFonts w:ascii="宋体" w:eastAsia="宋体" w:hAnsi="宋体" w:cs="宋体" w:hint="eastAsia"/>
          <w:sz w:val="24"/>
          <w:szCs w:val="24"/>
        </w:rPr>
        <w:t>宜建立</w:t>
      </w:r>
      <w:proofErr w:type="gramEnd"/>
      <w:r>
        <w:rPr>
          <w:rFonts w:ascii="宋体" w:eastAsia="宋体" w:hAnsi="宋体" w:cs="宋体" w:hint="eastAsia"/>
          <w:sz w:val="24"/>
          <w:szCs w:val="24"/>
        </w:rPr>
        <w:t>空间有限元模型对整个施工过程进行模拟分析。</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同步滑移施工应根据滑移阶段的边界条件和荷载条件等，对滑移单元、滑移支承结构、滑轨进行结构受力和变形验算。</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作用于滑移支承结构的纵向水平力作用</w:t>
      </w:r>
      <w:proofErr w:type="gramStart"/>
      <w:r>
        <w:rPr>
          <w:rFonts w:ascii="宋体" w:eastAsia="宋体" w:hAnsi="宋体" w:cs="宋体" w:hint="eastAsia"/>
          <w:sz w:val="24"/>
          <w:szCs w:val="24"/>
        </w:rPr>
        <w:t>值按照下</w:t>
      </w:r>
      <w:proofErr w:type="gramEnd"/>
      <w:r>
        <w:rPr>
          <w:rFonts w:ascii="宋体" w:eastAsia="宋体" w:hAnsi="宋体" w:cs="宋体" w:hint="eastAsia"/>
          <w:sz w:val="24"/>
          <w:szCs w:val="24"/>
        </w:rPr>
        <w:t>式计算：</w:t>
      </w:r>
    </w:p>
    <w:p w:rsidR="00BA6061" w:rsidRDefault="00610DB9">
      <w:pPr>
        <w:spacing w:line="360" w:lineRule="auto"/>
        <w:ind w:firstLineChars="200" w:firstLine="480"/>
        <w:jc w:val="right"/>
        <w:rPr>
          <w:rFonts w:ascii="宋体" w:eastAsia="宋体" w:hAnsi="宋体" w:cs="宋体"/>
          <w:bCs/>
          <w:sz w:val="24"/>
          <w:szCs w:val="24"/>
        </w:rPr>
      </w:pPr>
      <m:oMathPara>
        <m:oMath>
          <m:r>
            <w:rPr>
              <w:rFonts w:ascii="Cambria Math" w:eastAsia="宋体" w:hAnsi="Cambria Math" w:cs="宋体" w:hint="eastAsia"/>
              <w:sz w:val="24"/>
              <w:szCs w:val="24"/>
            </w:rPr>
            <m:t>F</m:t>
          </m:r>
          <m:r>
            <m:rPr>
              <m:sty m:val="p"/>
            </m:rPr>
            <w:rPr>
              <w:rFonts w:ascii="Cambria Math" w:eastAsia="宋体" w:hAnsi="Cambria Math" w:cs="宋体" w:hint="eastAsia"/>
              <w:sz w:val="24"/>
              <w:szCs w:val="24"/>
            </w:rPr>
            <m:t>=</m:t>
          </m:r>
          <m:r>
            <w:rPr>
              <w:rFonts w:ascii="Cambria Math" w:eastAsia="宋体" w:hAnsi="Cambria Math" w:cs="宋体" w:hint="eastAsia"/>
              <w:sz w:val="24"/>
              <w:szCs w:val="24"/>
            </w:rPr>
            <m:t>KNμ</m:t>
          </m:r>
        </m:oMath>
      </m:oMathPara>
    </w:p>
    <w:p w:rsidR="00BA6061" w:rsidRDefault="00610DB9">
      <w:pPr>
        <w:spacing w:line="360" w:lineRule="auto"/>
        <w:ind w:firstLineChars="200" w:firstLine="480"/>
        <w:rPr>
          <w:rFonts w:ascii="宋体" w:eastAsia="宋体" w:hAnsi="宋体" w:cs="宋体"/>
          <w:bCs/>
          <w:sz w:val="24"/>
          <w:szCs w:val="24"/>
        </w:rPr>
      </w:pPr>
      <w:r>
        <w:rPr>
          <w:rFonts w:ascii="宋体" w:eastAsia="宋体" w:hAnsi="宋体" w:cs="宋体" w:hint="eastAsia"/>
          <w:bCs/>
          <w:sz w:val="24"/>
          <w:szCs w:val="24"/>
        </w:rPr>
        <w:t>式中：</w:t>
      </w:r>
    </w:p>
    <w:p w:rsidR="00BA6061" w:rsidRPr="00AF7005" w:rsidRDefault="00610DB9">
      <w:pPr>
        <w:spacing w:line="360" w:lineRule="auto"/>
        <w:ind w:firstLineChars="200" w:firstLine="480"/>
        <w:rPr>
          <w:rFonts w:ascii="宋体" w:eastAsia="宋体" w:hAnsi="宋体" w:cs="宋体"/>
          <w:bCs/>
          <w:sz w:val="24"/>
          <w:szCs w:val="24"/>
        </w:rPr>
      </w:pPr>
      <w:r w:rsidRPr="00AF7005">
        <w:rPr>
          <w:rFonts w:ascii="宋体" w:eastAsia="宋体" w:hAnsi="宋体" w:cs="宋体" w:hint="eastAsia"/>
          <w:bCs/>
          <w:sz w:val="24"/>
          <w:szCs w:val="24"/>
        </w:rPr>
        <w:t>K——控制水平影响系数，根据滑移的同步控制水平确定，可取1.3～1.5。</w:t>
      </w:r>
    </w:p>
    <w:p w:rsidR="00BA6061" w:rsidRPr="00AF7005" w:rsidRDefault="00610DB9">
      <w:pPr>
        <w:spacing w:line="360" w:lineRule="auto"/>
        <w:ind w:firstLineChars="200" w:firstLine="480"/>
        <w:rPr>
          <w:rFonts w:ascii="宋体" w:eastAsia="宋体" w:hAnsi="宋体" w:cs="宋体"/>
          <w:bCs/>
          <w:sz w:val="24"/>
          <w:szCs w:val="24"/>
        </w:rPr>
      </w:pPr>
      <w:r w:rsidRPr="00AF7005">
        <w:rPr>
          <w:rFonts w:ascii="宋体" w:eastAsia="宋体" w:hAnsi="宋体" w:cs="宋体" w:hint="eastAsia"/>
          <w:bCs/>
          <w:sz w:val="24"/>
          <w:szCs w:val="24"/>
        </w:rPr>
        <w:t>N——滑移体重量（</w:t>
      </w:r>
      <w:proofErr w:type="spellStart"/>
      <w:r w:rsidRPr="00AF7005">
        <w:rPr>
          <w:rFonts w:ascii="宋体" w:eastAsia="宋体" w:hAnsi="宋体" w:cs="宋体" w:hint="eastAsia"/>
          <w:bCs/>
          <w:sz w:val="24"/>
          <w:szCs w:val="24"/>
        </w:rPr>
        <w:t>kN</w:t>
      </w:r>
      <w:proofErr w:type="spellEnd"/>
      <w:r w:rsidRPr="00AF7005">
        <w:rPr>
          <w:rFonts w:ascii="宋体" w:eastAsia="宋体" w:hAnsi="宋体" w:cs="宋体" w:hint="eastAsia"/>
          <w:bCs/>
          <w:sz w:val="24"/>
          <w:szCs w:val="24"/>
        </w:rPr>
        <w:t>）。</w:t>
      </w:r>
    </w:p>
    <w:p w:rsidR="00BA6061" w:rsidRPr="00AF7005" w:rsidRDefault="00610DB9">
      <w:pPr>
        <w:spacing w:line="360" w:lineRule="auto"/>
        <w:ind w:firstLineChars="200" w:firstLine="480"/>
        <w:rPr>
          <w:rFonts w:ascii="宋体" w:eastAsia="宋体" w:hAnsi="宋体" w:cs="宋体"/>
          <w:bCs/>
          <w:sz w:val="24"/>
          <w:szCs w:val="24"/>
        </w:rPr>
      </w:pPr>
      <w:r w:rsidRPr="00AF7005">
        <w:rPr>
          <w:rFonts w:ascii="宋体" w:eastAsia="宋体" w:hAnsi="宋体" w:cs="宋体" w:hint="eastAsia"/>
          <w:bCs/>
          <w:sz w:val="24"/>
          <w:szCs w:val="24"/>
        </w:rPr>
        <w:t>μ——滑移体滑动摩擦系数μ，宜通过试验确定，无试验数据时，</w:t>
      </w:r>
      <w:proofErr w:type="gramStart"/>
      <w:r w:rsidRPr="00AF7005">
        <w:rPr>
          <w:rFonts w:ascii="宋体" w:eastAsia="宋体" w:hAnsi="宋体" w:cs="宋体" w:hint="eastAsia"/>
          <w:bCs/>
          <w:sz w:val="24"/>
          <w:szCs w:val="24"/>
        </w:rPr>
        <w:t>经粗除锈</w:t>
      </w:r>
      <w:proofErr w:type="gramEnd"/>
      <w:r w:rsidRPr="00AF7005">
        <w:rPr>
          <w:rFonts w:ascii="宋体" w:eastAsia="宋体" w:hAnsi="宋体" w:cs="宋体" w:hint="eastAsia"/>
          <w:bCs/>
          <w:sz w:val="24"/>
          <w:szCs w:val="24"/>
        </w:rPr>
        <w:t>充分润滑的钢与</w:t>
      </w:r>
      <w:proofErr w:type="gramStart"/>
      <w:r w:rsidRPr="00AF7005">
        <w:rPr>
          <w:rFonts w:ascii="宋体" w:eastAsia="宋体" w:hAnsi="宋体" w:cs="宋体" w:hint="eastAsia"/>
          <w:bCs/>
          <w:sz w:val="24"/>
          <w:szCs w:val="24"/>
        </w:rPr>
        <w:t>钢之间</w:t>
      </w:r>
      <w:proofErr w:type="gramEnd"/>
      <w:r w:rsidRPr="00AF7005">
        <w:rPr>
          <w:rFonts w:ascii="宋体" w:eastAsia="宋体" w:hAnsi="宋体" w:cs="宋体" w:hint="eastAsia"/>
          <w:bCs/>
          <w:sz w:val="24"/>
          <w:szCs w:val="24"/>
        </w:rPr>
        <w:t>可取0.12~0.15，</w:t>
      </w:r>
      <w:proofErr w:type="gramStart"/>
      <w:r w:rsidRPr="00AF7005">
        <w:rPr>
          <w:rFonts w:ascii="宋体" w:eastAsia="宋体" w:hAnsi="宋体" w:cs="宋体" w:hint="eastAsia"/>
          <w:bCs/>
          <w:sz w:val="24"/>
          <w:szCs w:val="24"/>
        </w:rPr>
        <w:t>设置四</w:t>
      </w:r>
      <w:proofErr w:type="gramEnd"/>
      <w:r w:rsidRPr="00AF7005">
        <w:rPr>
          <w:rFonts w:ascii="宋体" w:eastAsia="宋体" w:hAnsi="宋体" w:cs="宋体" w:hint="eastAsia"/>
          <w:bCs/>
          <w:sz w:val="24"/>
          <w:szCs w:val="24"/>
        </w:rPr>
        <w:t>氟滑板时可取0.08。</w:t>
      </w:r>
    </w:p>
    <w:p w:rsidR="00BA6061" w:rsidRPr="00AF7005" w:rsidRDefault="00610DB9">
      <w:pPr>
        <w:pStyle w:val="ad"/>
        <w:numPr>
          <w:ilvl w:val="2"/>
          <w:numId w:val="3"/>
        </w:numPr>
        <w:spacing w:line="360" w:lineRule="auto"/>
        <w:ind w:left="0" w:firstLineChars="0" w:firstLine="0"/>
        <w:jc w:val="left"/>
        <w:rPr>
          <w:rFonts w:ascii="宋体" w:eastAsia="宋体" w:hAnsi="宋体" w:cs="宋体"/>
          <w:sz w:val="24"/>
          <w:szCs w:val="24"/>
        </w:rPr>
      </w:pPr>
      <w:r w:rsidRPr="00AF7005">
        <w:rPr>
          <w:rFonts w:ascii="宋体" w:eastAsia="宋体" w:hAnsi="宋体" w:cs="宋体" w:hint="eastAsia"/>
          <w:sz w:val="24"/>
          <w:szCs w:val="24"/>
        </w:rPr>
        <w:t>滑移支承结构设计时应进行强度、侧向刚度和整体稳定性分析与验算。</w:t>
      </w:r>
    </w:p>
    <w:p w:rsidR="00BA6061" w:rsidRPr="00AF7005" w:rsidRDefault="00610DB9">
      <w:pPr>
        <w:pStyle w:val="ad"/>
        <w:numPr>
          <w:ilvl w:val="2"/>
          <w:numId w:val="3"/>
        </w:numPr>
        <w:spacing w:line="360" w:lineRule="auto"/>
        <w:ind w:left="0" w:firstLineChars="0" w:firstLine="0"/>
        <w:jc w:val="left"/>
        <w:rPr>
          <w:rFonts w:ascii="宋体" w:eastAsia="宋体" w:hAnsi="宋体" w:cs="宋体"/>
          <w:sz w:val="24"/>
          <w:szCs w:val="24"/>
        </w:rPr>
      </w:pPr>
      <w:r w:rsidRPr="00AF7005">
        <w:rPr>
          <w:rFonts w:ascii="宋体" w:eastAsia="宋体" w:hAnsi="宋体" w:cs="宋体" w:hint="eastAsia"/>
          <w:sz w:val="24"/>
          <w:szCs w:val="24"/>
        </w:rPr>
        <w:t>滑轨应进行横向抗弯强度和局部承压分析与验算。</w:t>
      </w:r>
    </w:p>
    <w:p w:rsidR="00BA6061" w:rsidRPr="00AF7005" w:rsidRDefault="00610DB9">
      <w:pPr>
        <w:pStyle w:val="ad"/>
        <w:numPr>
          <w:ilvl w:val="2"/>
          <w:numId w:val="3"/>
        </w:numPr>
        <w:spacing w:line="360" w:lineRule="auto"/>
        <w:ind w:left="0" w:firstLineChars="0" w:firstLine="0"/>
        <w:jc w:val="left"/>
        <w:rPr>
          <w:rFonts w:ascii="宋体" w:eastAsia="宋体" w:hAnsi="宋体" w:cs="宋体"/>
          <w:sz w:val="24"/>
          <w:szCs w:val="24"/>
        </w:rPr>
      </w:pPr>
      <w:r w:rsidRPr="00AF7005">
        <w:rPr>
          <w:rFonts w:ascii="宋体" w:eastAsia="宋体" w:hAnsi="宋体" w:cs="宋体" w:hint="eastAsia"/>
          <w:sz w:val="24"/>
          <w:szCs w:val="24"/>
        </w:rPr>
        <w:t>同步滑移施工过程应按7.3.9条规定的各牵引点不同步位移最大限值计入不同步效应。</w:t>
      </w:r>
    </w:p>
    <w:p w:rsidR="00BA6061" w:rsidRDefault="00BA6061">
      <w:pPr>
        <w:pStyle w:val="ad"/>
        <w:spacing w:line="360" w:lineRule="auto"/>
        <w:ind w:firstLine="480"/>
        <w:jc w:val="left"/>
        <w:rPr>
          <w:rFonts w:ascii="宋体" w:eastAsia="宋体" w:hAnsi="宋体" w:cs="宋体"/>
          <w:i/>
          <w:color w:val="00B050"/>
          <w:sz w:val="24"/>
          <w:szCs w:val="24"/>
        </w:rPr>
      </w:pPr>
    </w:p>
    <w:p w:rsidR="00BA6061" w:rsidRDefault="00BA6061">
      <w:pPr>
        <w:ind w:firstLineChars="200" w:firstLine="640"/>
        <w:rPr>
          <w:rFonts w:ascii="仿宋" w:eastAsia="仿宋" w:hAnsi="仿宋" w:cs="Times New Roman"/>
          <w:bCs/>
          <w:sz w:val="32"/>
          <w:szCs w:val="32"/>
        </w:rPr>
      </w:pPr>
    </w:p>
    <w:p w:rsidR="00BA6061" w:rsidRDefault="00BA6061">
      <w:pPr>
        <w:ind w:firstLineChars="200" w:firstLine="640"/>
        <w:rPr>
          <w:rFonts w:ascii="仿宋" w:eastAsia="仿宋" w:hAnsi="仿宋" w:cs="Times New Roman"/>
          <w:bCs/>
          <w:sz w:val="32"/>
          <w:szCs w:val="32"/>
        </w:rPr>
      </w:pPr>
    </w:p>
    <w:p w:rsidR="00BA6061" w:rsidRDefault="00610DB9" w:rsidP="00BF12E9">
      <w:pPr>
        <w:pStyle w:val="1"/>
        <w:keepNext w:val="0"/>
        <w:keepLines w:val="0"/>
        <w:spacing w:before="312" w:after="312"/>
      </w:pPr>
      <w:r>
        <w:rPr>
          <w:rFonts w:hint="eastAsia"/>
        </w:rPr>
        <w:t xml:space="preserve">  </w:t>
      </w:r>
      <w:bookmarkStart w:id="68" w:name="_Toc224026614"/>
      <w:r>
        <w:rPr>
          <w:rFonts w:hint="eastAsia"/>
        </w:rPr>
        <w:t>步履式同步顶推结构设计</w:t>
      </w:r>
      <w:bookmarkEnd w:id="68"/>
    </w:p>
    <w:p w:rsidR="00BA6061" w:rsidRDefault="00BA6061">
      <w:pPr>
        <w:pStyle w:val="ad"/>
        <w:numPr>
          <w:ilvl w:val="0"/>
          <w:numId w:val="3"/>
        </w:numPr>
        <w:spacing w:line="360" w:lineRule="auto"/>
        <w:ind w:firstLineChars="0"/>
        <w:jc w:val="left"/>
        <w:rPr>
          <w:rFonts w:ascii="宋体" w:eastAsia="宋体" w:hAnsi="宋体" w:cs="宋体"/>
          <w:vanish/>
          <w:sz w:val="24"/>
          <w:szCs w:val="24"/>
        </w:rPr>
      </w:pPr>
    </w:p>
    <w:p w:rsidR="00BA6061" w:rsidRDefault="00BA6061">
      <w:pPr>
        <w:pStyle w:val="ad"/>
        <w:numPr>
          <w:ilvl w:val="1"/>
          <w:numId w:val="3"/>
        </w:numPr>
        <w:spacing w:line="360" w:lineRule="auto"/>
        <w:ind w:firstLineChars="0"/>
        <w:jc w:val="left"/>
        <w:rPr>
          <w:rFonts w:ascii="宋体" w:eastAsia="宋体" w:hAnsi="宋体" w:cs="宋体"/>
          <w:vanish/>
          <w:sz w:val="24"/>
          <w:szCs w:val="24"/>
        </w:rPr>
      </w:pPr>
    </w:p>
    <w:p w:rsidR="00BA6061" w:rsidRDefault="00BA6061">
      <w:pPr>
        <w:pStyle w:val="ad"/>
        <w:numPr>
          <w:ilvl w:val="1"/>
          <w:numId w:val="3"/>
        </w:numPr>
        <w:spacing w:line="360" w:lineRule="auto"/>
        <w:ind w:firstLineChars="0"/>
        <w:jc w:val="left"/>
        <w:rPr>
          <w:rFonts w:ascii="宋体" w:eastAsia="宋体" w:hAnsi="宋体" w:cs="宋体"/>
          <w:vanish/>
          <w:sz w:val="24"/>
          <w:szCs w:val="24"/>
        </w:rPr>
      </w:pPr>
    </w:p>
    <w:p w:rsidR="00BA6061" w:rsidRPr="00AF7005" w:rsidRDefault="00610DB9">
      <w:pPr>
        <w:pStyle w:val="2"/>
        <w:keepNext w:val="0"/>
        <w:keepLines w:val="0"/>
        <w:numPr>
          <w:ilvl w:val="1"/>
          <w:numId w:val="1"/>
        </w:numPr>
        <w:spacing w:before="312" w:after="312" w:line="360" w:lineRule="auto"/>
        <w:ind w:left="0" w:firstLine="560"/>
        <w:jc w:val="center"/>
        <w:rPr>
          <w:rFonts w:ascii="黑体" w:hAnsi="黑体" w:cs="黑体"/>
          <w:b w:val="0"/>
          <w:sz w:val="28"/>
          <w:szCs w:val="28"/>
        </w:rPr>
      </w:pPr>
      <w:r w:rsidRPr="00AF7005">
        <w:rPr>
          <w:rFonts w:ascii="黑体" w:hAnsi="黑体" w:cs="黑体" w:hint="eastAsia"/>
          <w:b w:val="0"/>
          <w:sz w:val="28"/>
          <w:szCs w:val="28"/>
        </w:rPr>
        <w:t xml:space="preserve"> </w:t>
      </w:r>
      <w:bookmarkStart w:id="69" w:name="_Toc223533696"/>
      <w:bookmarkStart w:id="70" w:name="_Toc224026615"/>
      <w:r w:rsidRPr="00AF7005">
        <w:rPr>
          <w:rFonts w:ascii="黑体" w:hAnsi="黑体" w:cs="黑体" w:hint="eastAsia"/>
          <w:b w:val="0"/>
          <w:sz w:val="28"/>
          <w:szCs w:val="28"/>
        </w:rPr>
        <w:t>主体结构设计</w:t>
      </w:r>
      <w:bookmarkEnd w:id="69"/>
      <w:bookmarkEnd w:id="70"/>
    </w:p>
    <w:p w:rsidR="00BA6061" w:rsidRPr="00AF7005" w:rsidRDefault="00610DB9" w:rsidP="00AF7005">
      <w:pPr>
        <w:pStyle w:val="ad"/>
        <w:numPr>
          <w:ilvl w:val="2"/>
          <w:numId w:val="3"/>
        </w:numPr>
        <w:spacing w:line="360" w:lineRule="auto"/>
        <w:ind w:left="0" w:firstLineChars="0" w:firstLine="0"/>
        <w:jc w:val="left"/>
        <w:rPr>
          <w:rFonts w:ascii="宋体" w:eastAsia="宋体" w:hAnsi="宋体" w:cs="宋体"/>
          <w:sz w:val="24"/>
          <w:szCs w:val="24"/>
        </w:rPr>
      </w:pPr>
      <w:r w:rsidRPr="00AF7005">
        <w:rPr>
          <w:rFonts w:ascii="宋体" w:eastAsia="宋体" w:hAnsi="宋体" w:cs="宋体" w:hint="eastAsia"/>
          <w:sz w:val="24"/>
          <w:szCs w:val="24"/>
        </w:rPr>
        <w:t>钢箱梁和钢-混组合梁的最大顶推跨径不宜超过85m。结合结构前端挠度或结构应力情况，可采用临时索塔等措施增加顶推跨越能力。</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 桥梁顶推作业跨越道路或河流时，可能受限于下方交通、地质或水文条件，无法设置临时墩等辅助措施，导致顶推跨径过大，进一步引起导梁前端严重下挠，导梁无法正常过墩，且造成悬臂根部转角过大而接触面积变小，在临时支撑区域出现严重的应力集中现象。编制组调研了国内外桥梁顶推作业时的最大顶推跨径，一般钢箱梁和钢-混组合梁最大顶推跨径在85m以下，因此给出参考的建议值，设计单位可根据结构具体形式进行调整。当顶推跨径较大，严重影响顶推可行性时，可设置临时塔架及拉索（吊索塔架）综合改善主梁及导梁的受力和变形状态，保证顶推安全可靠。</w:t>
      </w:r>
    </w:p>
    <w:p w:rsidR="00BA6061" w:rsidRDefault="00610DB9">
      <w:pPr>
        <w:pStyle w:val="ad"/>
        <w:spacing w:line="360" w:lineRule="auto"/>
        <w:ind w:firstLine="480"/>
        <w:jc w:val="left"/>
        <w:rPr>
          <w:rFonts w:ascii="宋体" w:eastAsia="宋体" w:hAnsi="宋体" w:cs="宋体"/>
          <w:sz w:val="24"/>
          <w:szCs w:val="24"/>
        </w:rPr>
      </w:pPr>
      <w:r>
        <w:rPr>
          <w:rFonts w:ascii="宋体" w:eastAsia="宋体" w:hAnsi="宋体" w:cs="宋体" w:hint="eastAsia"/>
          <w:i/>
          <w:color w:val="00B050"/>
          <w:sz w:val="24"/>
          <w:szCs w:val="24"/>
        </w:rPr>
        <w:t>临时索塔可采用门式塔架、桁架式塔架、组合式塔架等，拉索可采用平行钢丝或钢绞线。临时塔架设计计算应根据施工条件及经济性条件对顶推结构进行整体分析，以主梁及导梁的应力及变形控制为主，同时兼顾索力，将主梁和临时塔架内力和变形控制在合理范围。临时塔架验算内容包括塔架底座、塔柱结构、拉索等结构的强度，以及</w:t>
      </w:r>
      <w:proofErr w:type="gramStart"/>
      <w:r>
        <w:rPr>
          <w:rFonts w:ascii="宋体" w:eastAsia="宋体" w:hAnsi="宋体" w:cs="宋体" w:hint="eastAsia"/>
          <w:i/>
          <w:color w:val="00B050"/>
          <w:sz w:val="24"/>
          <w:szCs w:val="24"/>
        </w:rPr>
        <w:t>塔梁结合</w:t>
      </w:r>
      <w:proofErr w:type="gramEnd"/>
      <w:r>
        <w:rPr>
          <w:rFonts w:ascii="宋体" w:eastAsia="宋体" w:hAnsi="宋体" w:cs="宋体" w:hint="eastAsia"/>
          <w:i/>
          <w:color w:val="00B050"/>
          <w:sz w:val="24"/>
          <w:szCs w:val="24"/>
        </w:rPr>
        <w:t>部和拉索锚固区的局部强度和局部受压稳定性。</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采用顶推施工的梁拱组合结构的主拱、主梁宜为钢结构。当拱桥</w:t>
      </w:r>
      <w:proofErr w:type="gramStart"/>
      <w:r>
        <w:rPr>
          <w:rFonts w:ascii="宋体" w:eastAsia="宋体" w:hAnsi="宋体" w:cs="宋体" w:hint="eastAsia"/>
          <w:sz w:val="24"/>
          <w:szCs w:val="24"/>
        </w:rPr>
        <w:t>的主拱为</w:t>
      </w:r>
      <w:proofErr w:type="gramEnd"/>
      <w:r>
        <w:rPr>
          <w:rFonts w:ascii="宋体" w:eastAsia="宋体" w:hAnsi="宋体" w:cs="宋体" w:hint="eastAsia"/>
          <w:sz w:val="24"/>
          <w:szCs w:val="24"/>
        </w:rPr>
        <w:t>钢管混凝土或者主梁为钢-混组合梁时，宜在顶推就位之后再进行混凝土施工。</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顶推施工的主跨不大于200m的梁拱组合结构主梁可不设预拱度。</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 梁拱组合结构在顶推过程中设置</w:t>
      </w:r>
      <w:proofErr w:type="gramStart"/>
      <w:r>
        <w:rPr>
          <w:rFonts w:ascii="宋体" w:eastAsia="宋体" w:hAnsi="宋体" w:cs="宋体" w:hint="eastAsia"/>
          <w:i/>
          <w:color w:val="00B050"/>
          <w:sz w:val="24"/>
          <w:szCs w:val="24"/>
        </w:rPr>
        <w:t>了拱内临时</w:t>
      </w:r>
      <w:proofErr w:type="gramEnd"/>
      <w:r>
        <w:rPr>
          <w:rFonts w:ascii="宋体" w:eastAsia="宋体" w:hAnsi="宋体" w:cs="宋体" w:hint="eastAsia"/>
          <w:i/>
          <w:color w:val="00B050"/>
          <w:sz w:val="24"/>
          <w:szCs w:val="24"/>
        </w:rPr>
        <w:t>撑杆等构件，其结构刚度很大，强制位移产生的附加应力问题比其他结构形式更为突出。为了减少顶推施工控制的难度、避免桥梁主体结构产生较大的附加应力，对于采用顶推施工的梁拱组合结构，如建设条件允许，建议在工程总体纵断面设计时充分考虑顶推施工的特点，将桥梁纵断面设计为直线或圆曲线，并同时将顶推阶段会通过的各顶推支墩</w:t>
      </w:r>
      <w:proofErr w:type="gramStart"/>
      <w:r>
        <w:rPr>
          <w:rFonts w:ascii="宋体" w:eastAsia="宋体" w:hAnsi="宋体" w:cs="宋体" w:hint="eastAsia"/>
          <w:i/>
          <w:color w:val="00B050"/>
          <w:sz w:val="24"/>
          <w:szCs w:val="24"/>
        </w:rPr>
        <w:t>墩</w:t>
      </w:r>
      <w:proofErr w:type="gramEnd"/>
      <w:r>
        <w:rPr>
          <w:rFonts w:ascii="宋体" w:eastAsia="宋体" w:hAnsi="宋体" w:cs="宋体" w:hint="eastAsia"/>
          <w:i/>
          <w:color w:val="00B050"/>
          <w:sz w:val="24"/>
          <w:szCs w:val="24"/>
        </w:rPr>
        <w:t>顶的顶推设备设置在直线或相同半径的圆曲线上。</w:t>
      </w:r>
    </w:p>
    <w:p w:rsidR="00BA6061" w:rsidRDefault="00610DB9">
      <w:pPr>
        <w:pStyle w:val="ad"/>
        <w:spacing w:line="360" w:lineRule="auto"/>
        <w:ind w:firstLine="480"/>
        <w:jc w:val="left"/>
        <w:rPr>
          <w:rFonts w:ascii="宋体" w:eastAsia="宋体" w:hAnsi="宋体" w:cs="宋体"/>
          <w:i/>
          <w:color w:val="00B050"/>
          <w:sz w:val="24"/>
          <w:szCs w:val="24"/>
        </w:rPr>
      </w:pPr>
      <w:proofErr w:type="gramStart"/>
      <w:r>
        <w:rPr>
          <w:rFonts w:ascii="宋体" w:eastAsia="宋体" w:hAnsi="宋体" w:cs="宋体" w:hint="eastAsia"/>
          <w:i/>
          <w:color w:val="00B050"/>
          <w:sz w:val="24"/>
          <w:szCs w:val="24"/>
        </w:rPr>
        <w:t>现行行业</w:t>
      </w:r>
      <w:proofErr w:type="gramEnd"/>
      <w:r>
        <w:rPr>
          <w:rFonts w:ascii="宋体" w:eastAsia="宋体" w:hAnsi="宋体" w:cs="宋体" w:hint="eastAsia"/>
          <w:i/>
          <w:color w:val="00B050"/>
          <w:sz w:val="24"/>
          <w:szCs w:val="24"/>
        </w:rPr>
        <w:t>标准《公路钢结构桥梁设计规范》JTG D64-2015第4.2.4条规定“钢桥应设置预拱度，预拱度大小应视实际需要而定，宜为结构自重标准值加1/2车道荷载频遇值产生的挠度值”，可见该条文并未对预拱度大小进行强制性规定。实际工程设计中，也常常会有仅以恒载变形为依据进行预拱度设置的情况。梁拱组合体系系杆拱桥由于拱肋的刚度和吊杆的作用，主梁的恒载挠度可以通过合适的吊杆索力进行一定程度的调节，根据多座梁拱组合体系系杆拱桥的结构计算经验，跨度在200m以内的梁拱组合体系系杆拱桥的主梁在恒载下的最大向下挠度可以控制在10cm以内，小于跨径的1/2000。考虑到主梁的实际变形值较小，并结合顶推施工的特点，为了避免破坏梁底“直线”或“圆弧曲线”的线型，避免加大施工控制难度或增加施工附加应力，认为跨径在200m以内时梁拱组合结构的主梁不设预拱度可能更为有益。因此，</w:t>
      </w:r>
      <w:proofErr w:type="gramStart"/>
      <w:r>
        <w:rPr>
          <w:rFonts w:ascii="宋体" w:eastAsia="宋体" w:hAnsi="宋体" w:cs="宋体" w:hint="eastAsia"/>
          <w:i/>
          <w:color w:val="00B050"/>
          <w:sz w:val="24"/>
          <w:szCs w:val="24"/>
        </w:rPr>
        <w:t>作出</w:t>
      </w:r>
      <w:proofErr w:type="gramEnd"/>
      <w:r>
        <w:rPr>
          <w:rFonts w:ascii="宋体" w:eastAsia="宋体" w:hAnsi="宋体" w:cs="宋体" w:hint="eastAsia"/>
          <w:i/>
          <w:color w:val="00B050"/>
          <w:sz w:val="24"/>
          <w:szCs w:val="24"/>
        </w:rPr>
        <w:t>本条规定。</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如跨径很大或者设计者综合考虑后认为需要设置预拱度，建议叠加预拱度后的主梁纵断面线形仍为圆曲线。</w:t>
      </w:r>
    </w:p>
    <w:p w:rsidR="00BA6061" w:rsidRDefault="00610DB9">
      <w:pPr>
        <w:pStyle w:val="ad"/>
        <w:spacing w:line="360" w:lineRule="auto"/>
        <w:ind w:firstLine="480"/>
        <w:jc w:val="left"/>
        <w:rPr>
          <w:rFonts w:ascii="宋体" w:eastAsia="宋体" w:hAnsi="宋体" w:cs="宋体"/>
          <w:sz w:val="24"/>
          <w:szCs w:val="24"/>
        </w:rPr>
      </w:pPr>
      <w:r>
        <w:rPr>
          <w:rFonts w:ascii="宋体" w:eastAsia="宋体" w:hAnsi="宋体" w:cs="宋体" w:hint="eastAsia"/>
          <w:i/>
          <w:color w:val="00B050"/>
          <w:sz w:val="24"/>
          <w:szCs w:val="24"/>
        </w:rPr>
        <w:t>当建设条件不允许将梁拱组合结构的纵断面设计为直线或圆曲线时，处理方法参见第8.1.5～8.1.6条的条文说明。</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顶推施工梁拱组合结构的钢主梁梁高不宜小于最大顶推跨径的1/25。</w:t>
      </w:r>
    </w:p>
    <w:p w:rsidR="00BA6061" w:rsidRDefault="00610DB9">
      <w:pPr>
        <w:pStyle w:val="ad"/>
        <w:spacing w:line="360" w:lineRule="auto"/>
        <w:ind w:firstLine="480"/>
        <w:jc w:val="left"/>
        <w:rPr>
          <w:rFonts w:ascii="宋体" w:eastAsia="宋体" w:hAnsi="宋体" w:cs="宋体"/>
          <w:sz w:val="24"/>
          <w:szCs w:val="24"/>
        </w:rPr>
      </w:pPr>
      <w:r>
        <w:rPr>
          <w:rFonts w:ascii="宋体" w:eastAsia="宋体" w:hAnsi="宋体" w:cs="宋体" w:hint="eastAsia"/>
          <w:i/>
          <w:color w:val="00B050"/>
          <w:sz w:val="24"/>
          <w:szCs w:val="24"/>
        </w:rPr>
        <w:t>条文说明： 由于顶推施工是一个支承状态不断发生变化的过程，在顶推施工的某些阶段梁拱组合结构的钢主梁会承受垂直于主梁的强大集中力（临时</w:t>
      </w:r>
      <w:proofErr w:type="gramStart"/>
      <w:r>
        <w:rPr>
          <w:rFonts w:ascii="宋体" w:eastAsia="宋体" w:hAnsi="宋体" w:cs="宋体" w:hint="eastAsia"/>
          <w:i/>
          <w:color w:val="00B050"/>
          <w:sz w:val="24"/>
          <w:szCs w:val="24"/>
        </w:rPr>
        <w:t>支承反</w:t>
      </w:r>
      <w:proofErr w:type="gramEnd"/>
      <w:r>
        <w:rPr>
          <w:rFonts w:ascii="宋体" w:eastAsia="宋体" w:hAnsi="宋体" w:cs="宋体" w:hint="eastAsia"/>
          <w:i/>
          <w:color w:val="00B050"/>
          <w:sz w:val="24"/>
          <w:szCs w:val="24"/>
        </w:rPr>
        <w:t>力），主梁应具备一定的竖向抗弯刚度。设计时如建设条件允许，宜加大梁拱组合结构钢主梁梁高以提高主梁的竖向抗弯刚度（相应的顶底板厚度可适当减薄以保证经济性）。如主梁梁高过小，可能会需要更多的临时设施。例如，浙江宁波</w:t>
      </w:r>
      <w:proofErr w:type="gramStart"/>
      <w:r>
        <w:rPr>
          <w:rFonts w:ascii="宋体" w:eastAsia="宋体" w:hAnsi="宋体" w:cs="宋体" w:hint="eastAsia"/>
          <w:i/>
          <w:color w:val="00B050"/>
          <w:sz w:val="24"/>
          <w:szCs w:val="24"/>
        </w:rPr>
        <w:t>新典桥因</w:t>
      </w:r>
      <w:proofErr w:type="gramEnd"/>
      <w:r>
        <w:rPr>
          <w:rFonts w:ascii="宋体" w:eastAsia="宋体" w:hAnsi="宋体" w:cs="宋体" w:hint="eastAsia"/>
          <w:i/>
          <w:color w:val="00B050"/>
          <w:sz w:val="24"/>
          <w:szCs w:val="24"/>
        </w:rPr>
        <w:t>梁高为2.34m，为最大顶推跨径的1/30，施工过程中采用</w:t>
      </w:r>
      <w:proofErr w:type="gramStart"/>
      <w:r>
        <w:rPr>
          <w:rFonts w:ascii="宋体" w:eastAsia="宋体" w:hAnsi="宋体" w:cs="宋体" w:hint="eastAsia"/>
          <w:i/>
          <w:color w:val="00B050"/>
          <w:sz w:val="24"/>
          <w:szCs w:val="24"/>
        </w:rPr>
        <w:t>了格构式</w:t>
      </w:r>
      <w:proofErr w:type="gramEnd"/>
      <w:r>
        <w:rPr>
          <w:rFonts w:ascii="宋体" w:eastAsia="宋体" w:hAnsi="宋体" w:cs="宋体" w:hint="eastAsia"/>
          <w:i/>
          <w:color w:val="00B050"/>
          <w:sz w:val="24"/>
          <w:szCs w:val="24"/>
        </w:rPr>
        <w:t>竖向满布</w:t>
      </w:r>
      <w:proofErr w:type="gramStart"/>
      <w:r>
        <w:rPr>
          <w:rFonts w:ascii="宋体" w:eastAsia="宋体" w:hAnsi="宋体" w:cs="宋体" w:hint="eastAsia"/>
          <w:i/>
          <w:color w:val="00B050"/>
          <w:sz w:val="24"/>
          <w:szCs w:val="24"/>
        </w:rPr>
        <w:t>的拱内临时</w:t>
      </w:r>
      <w:proofErr w:type="gramEnd"/>
      <w:r>
        <w:rPr>
          <w:rFonts w:ascii="宋体" w:eastAsia="宋体" w:hAnsi="宋体" w:cs="宋体" w:hint="eastAsia"/>
          <w:i/>
          <w:color w:val="00B050"/>
          <w:sz w:val="24"/>
          <w:szCs w:val="24"/>
        </w:rPr>
        <w:t>撑杆，临时结构用量和顶推体重量显著增加。云南泸水怒江连心桥梁高2m，为最大顶推跨径的1/40，该桥采用了网状吊杆，顶推施工时网状吊杆已经安装，对顶推施工时的结构受力有一定改善作用，但该桥顶推施工时斜向布置</w:t>
      </w:r>
      <w:proofErr w:type="gramStart"/>
      <w:r>
        <w:rPr>
          <w:rFonts w:ascii="宋体" w:eastAsia="宋体" w:hAnsi="宋体" w:cs="宋体" w:hint="eastAsia"/>
          <w:i/>
          <w:color w:val="00B050"/>
          <w:sz w:val="24"/>
          <w:szCs w:val="24"/>
        </w:rPr>
        <w:t>的拱内临时</w:t>
      </w:r>
      <w:proofErr w:type="gramEnd"/>
      <w:r>
        <w:rPr>
          <w:rFonts w:ascii="宋体" w:eastAsia="宋体" w:hAnsi="宋体" w:cs="宋体" w:hint="eastAsia"/>
          <w:i/>
          <w:color w:val="00B050"/>
          <w:sz w:val="24"/>
          <w:szCs w:val="24"/>
        </w:rPr>
        <w:t>撑杆数量仍较多，临时结构用量也比较大。</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顶推施工梁拱组合结构的主梁腹板厚度宜根据成桥运营阶段的受力要求确定，并应对顶推施工阶段</w:t>
      </w:r>
      <w:proofErr w:type="gramStart"/>
      <w:r>
        <w:rPr>
          <w:rFonts w:ascii="宋体" w:eastAsia="宋体" w:hAnsi="宋体" w:cs="宋体" w:hint="eastAsia"/>
          <w:sz w:val="24"/>
          <w:szCs w:val="24"/>
        </w:rPr>
        <w:t>的抗剪性能</w:t>
      </w:r>
      <w:proofErr w:type="gramEnd"/>
      <w:r>
        <w:rPr>
          <w:rFonts w:ascii="宋体" w:eastAsia="宋体" w:hAnsi="宋体" w:cs="宋体" w:hint="eastAsia"/>
          <w:sz w:val="24"/>
          <w:szCs w:val="24"/>
        </w:rPr>
        <w:t>进行验算。</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 钢箱梁、钢-混组合梁及梁拱组合结构顶推过程中要求顶推设备（抄垫）与主梁接触面间的相互作用竖向</w:t>
      </w:r>
      <w:proofErr w:type="gramStart"/>
      <w:r>
        <w:rPr>
          <w:rFonts w:ascii="宋体" w:eastAsia="宋体" w:hAnsi="宋体" w:cs="宋体" w:hint="eastAsia"/>
          <w:i/>
          <w:color w:val="00B050"/>
          <w:sz w:val="24"/>
          <w:szCs w:val="24"/>
        </w:rPr>
        <w:t>力直接</w:t>
      </w:r>
      <w:proofErr w:type="gramEnd"/>
      <w:r>
        <w:rPr>
          <w:rFonts w:ascii="宋体" w:eastAsia="宋体" w:hAnsi="宋体" w:cs="宋体" w:hint="eastAsia"/>
          <w:i/>
          <w:color w:val="00B050"/>
          <w:sz w:val="24"/>
          <w:szCs w:val="24"/>
        </w:rPr>
        <w:t>传递到主梁的腹板上。由于腹板直接承受顶推设备传递的反力，腹板的受力特性与成桥状态有较大的区别。此外，顶推过程中的总体结构状态、支承体系与成桥运营阶段有非常大的区别，进一步造成了腹板受力状态与成桥状态显著不同。但实际工程中，工程人员往往重点关注顶、底板应力状态，对腹板的应力状态则关注较少，因此，此条规定可起到提醒作用。</w:t>
      </w:r>
    </w:p>
    <w:p w:rsidR="00BA6061" w:rsidRDefault="00610DB9">
      <w:pPr>
        <w:pStyle w:val="ad"/>
        <w:spacing w:line="360" w:lineRule="auto"/>
        <w:ind w:firstLine="480"/>
        <w:jc w:val="left"/>
        <w:rPr>
          <w:rFonts w:ascii="宋体" w:eastAsia="宋体" w:hAnsi="宋体" w:cs="宋体"/>
          <w:sz w:val="24"/>
          <w:szCs w:val="24"/>
        </w:rPr>
      </w:pPr>
      <w:r>
        <w:rPr>
          <w:rFonts w:ascii="宋体" w:eastAsia="宋体" w:hAnsi="宋体" w:cs="宋体" w:hint="eastAsia"/>
          <w:i/>
          <w:color w:val="00B050"/>
          <w:sz w:val="24"/>
          <w:szCs w:val="24"/>
        </w:rPr>
        <w:t>对于梁式结构，腹板顶推阶段的受力一般不会大幅超过成桥运营阶段，但对于梁拱组合结构，情况有所不同。首先，当顶推设备支承点</w:t>
      </w:r>
      <w:proofErr w:type="gramStart"/>
      <w:r>
        <w:rPr>
          <w:rFonts w:ascii="宋体" w:eastAsia="宋体" w:hAnsi="宋体" w:cs="宋体" w:hint="eastAsia"/>
          <w:i/>
          <w:color w:val="00B050"/>
          <w:sz w:val="24"/>
          <w:szCs w:val="24"/>
        </w:rPr>
        <w:t>与拱内</w:t>
      </w:r>
      <w:proofErr w:type="gramEnd"/>
      <w:r>
        <w:rPr>
          <w:rFonts w:ascii="宋体" w:eastAsia="宋体" w:hAnsi="宋体" w:cs="宋体" w:hint="eastAsia"/>
          <w:i/>
          <w:color w:val="00B050"/>
          <w:sz w:val="24"/>
          <w:szCs w:val="24"/>
        </w:rPr>
        <w:t>临时撑杆梁上节点在纵向相距较近时，两点之间的腹板所受剪力较大；此外，在顶推设备支承点位置，腹板下方受到纵向、竖向两向压力作用，存在局部失稳的可能。因此，应特别关注梁拱组合结构腹板在顶推施工阶段</w:t>
      </w:r>
      <w:proofErr w:type="gramStart"/>
      <w:r>
        <w:rPr>
          <w:rFonts w:ascii="宋体" w:eastAsia="宋体" w:hAnsi="宋体" w:cs="宋体" w:hint="eastAsia"/>
          <w:i/>
          <w:color w:val="00B050"/>
          <w:sz w:val="24"/>
          <w:szCs w:val="24"/>
        </w:rPr>
        <w:t>的抗剪性能</w:t>
      </w:r>
      <w:proofErr w:type="gramEnd"/>
      <w:r>
        <w:rPr>
          <w:rFonts w:ascii="宋体" w:eastAsia="宋体" w:hAnsi="宋体" w:cs="宋体" w:hint="eastAsia"/>
          <w:i/>
          <w:color w:val="00B050"/>
          <w:sz w:val="24"/>
          <w:szCs w:val="24"/>
        </w:rPr>
        <w:t>和局部稳定性能。</w:t>
      </w:r>
    </w:p>
    <w:p w:rsidR="00BA6061" w:rsidRDefault="00610DB9">
      <w:pPr>
        <w:jc w:val="center"/>
        <w:rPr>
          <w:rFonts w:ascii="楷体" w:eastAsia="楷体" w:hAnsi="楷体"/>
          <w:szCs w:val="24"/>
        </w:rPr>
      </w:pPr>
      <w:r>
        <w:rPr>
          <w:rFonts w:ascii="楷体" w:eastAsia="楷体" w:hAnsi="楷体"/>
          <w:noProof/>
          <w:szCs w:val="24"/>
        </w:rPr>
        <w:drawing>
          <wp:inline distT="0" distB="0" distL="0" distR="0">
            <wp:extent cx="2879725" cy="2014220"/>
            <wp:effectExtent l="0" t="0" r="635" b="1270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2879725" cy="2014220"/>
                    </a:xfrm>
                    <a:prstGeom prst="rect">
                      <a:avLst/>
                    </a:prstGeom>
                    <a:noFill/>
                    <a:ln>
                      <a:noFill/>
                    </a:ln>
                  </pic:spPr>
                </pic:pic>
              </a:graphicData>
            </a:graphic>
          </wp:inline>
        </w:drawing>
      </w:r>
    </w:p>
    <w:p w:rsidR="00BA6061" w:rsidRDefault="00610DB9">
      <w:pPr>
        <w:pStyle w:val="ad"/>
        <w:widowControl/>
        <w:numPr>
          <w:ilvl w:val="255"/>
          <w:numId w:val="0"/>
        </w:numPr>
        <w:adjustRightInd w:val="0"/>
        <w:spacing w:line="288" w:lineRule="auto"/>
        <w:jc w:val="center"/>
        <w:textAlignment w:val="baseline"/>
        <w:rPr>
          <w:rStyle w:val="ae"/>
          <w:rFonts w:ascii="宋体" w:eastAsia="宋体" w:hAnsi="宋体" w:cs="宋体"/>
          <w:i/>
          <w:iCs/>
          <w:color w:val="00B050"/>
          <w:kern w:val="0"/>
          <w:sz w:val="21"/>
          <w:szCs w:val="21"/>
        </w:rPr>
      </w:pPr>
      <w:r>
        <w:rPr>
          <w:rStyle w:val="ae"/>
          <w:rFonts w:ascii="宋体" w:eastAsia="宋体" w:hAnsi="宋体" w:cs="宋体" w:hint="eastAsia"/>
          <w:i/>
          <w:iCs/>
          <w:color w:val="00B050"/>
          <w:kern w:val="0"/>
          <w:sz w:val="21"/>
          <w:szCs w:val="21"/>
        </w:rPr>
        <w:t>图*  梁拱组合结构腹板剪力不利状态图示</w:t>
      </w:r>
    </w:p>
    <w:p w:rsidR="00BA6061" w:rsidRDefault="00610DB9">
      <w:pPr>
        <w:jc w:val="center"/>
        <w:rPr>
          <w:rStyle w:val="ae"/>
          <w:rFonts w:ascii="黑体" w:hAnsi="黑体"/>
          <w:i/>
          <w:iCs/>
          <w:color w:val="00B050"/>
          <w:kern w:val="0"/>
          <w:sz w:val="21"/>
          <w:szCs w:val="21"/>
        </w:rPr>
      </w:pPr>
      <w:r>
        <w:rPr>
          <w:rStyle w:val="ae"/>
          <w:rFonts w:ascii="宋体" w:eastAsia="宋体" w:hAnsi="宋体" w:cs="宋体"/>
          <w:i/>
          <w:iCs/>
          <w:color w:val="00B050"/>
          <w:kern w:val="0"/>
          <w:sz w:val="21"/>
          <w:szCs w:val="21"/>
        </w:rPr>
        <w:t>1——</w:t>
      </w:r>
      <w:r>
        <w:rPr>
          <w:rStyle w:val="ae"/>
          <w:rFonts w:ascii="宋体" w:eastAsia="宋体" w:hAnsi="宋体" w:cs="宋体" w:hint="eastAsia"/>
          <w:i/>
          <w:iCs/>
          <w:color w:val="00B050"/>
          <w:kern w:val="0"/>
          <w:sz w:val="21"/>
          <w:szCs w:val="21"/>
        </w:rPr>
        <w:t>顶推支墩</w:t>
      </w:r>
      <w:r>
        <w:rPr>
          <w:rStyle w:val="ae"/>
          <w:rFonts w:ascii="宋体" w:eastAsia="宋体" w:hAnsi="宋体" w:cs="宋体"/>
          <w:i/>
          <w:iCs/>
          <w:color w:val="00B050"/>
          <w:kern w:val="0"/>
          <w:sz w:val="21"/>
          <w:szCs w:val="21"/>
        </w:rPr>
        <w:t>；2——</w:t>
      </w:r>
      <w:r>
        <w:rPr>
          <w:rStyle w:val="ae"/>
          <w:rFonts w:ascii="宋体" w:eastAsia="宋体" w:hAnsi="宋体" w:cs="宋体" w:hint="eastAsia"/>
          <w:i/>
          <w:iCs/>
          <w:color w:val="00B050"/>
          <w:kern w:val="0"/>
          <w:sz w:val="21"/>
          <w:szCs w:val="21"/>
        </w:rPr>
        <w:t>主梁</w:t>
      </w:r>
      <w:r>
        <w:rPr>
          <w:rStyle w:val="ae"/>
          <w:rFonts w:ascii="宋体" w:eastAsia="宋体" w:hAnsi="宋体" w:cs="宋体"/>
          <w:i/>
          <w:iCs/>
          <w:color w:val="00B050"/>
          <w:kern w:val="0"/>
          <w:sz w:val="21"/>
          <w:szCs w:val="21"/>
        </w:rPr>
        <w:t>；3——</w:t>
      </w:r>
      <w:proofErr w:type="gramStart"/>
      <w:r>
        <w:rPr>
          <w:rStyle w:val="ae"/>
          <w:rFonts w:ascii="宋体" w:eastAsia="宋体" w:hAnsi="宋体" w:cs="宋体" w:hint="eastAsia"/>
          <w:i/>
          <w:iCs/>
          <w:color w:val="00B050"/>
          <w:kern w:val="0"/>
          <w:sz w:val="21"/>
          <w:szCs w:val="21"/>
        </w:rPr>
        <w:t>拱内临时</w:t>
      </w:r>
      <w:proofErr w:type="gramEnd"/>
      <w:r>
        <w:rPr>
          <w:rStyle w:val="ae"/>
          <w:rFonts w:ascii="宋体" w:eastAsia="宋体" w:hAnsi="宋体" w:cs="宋体" w:hint="eastAsia"/>
          <w:i/>
          <w:iCs/>
          <w:color w:val="00B050"/>
          <w:kern w:val="0"/>
          <w:sz w:val="21"/>
          <w:szCs w:val="21"/>
        </w:rPr>
        <w:t>撑杆</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为了保证经济性，一般不建议因为顶推施工而对腹板板厚进行全面加厚，或大幅增加腹板的加劲肋。建议设计时按照成桥运营阶段的受力状况确定腹板厚度和加劲肋布置，再对顶推施工阶段进行验算。当顶推施工阶段部分区段的腹板不能满足</w:t>
      </w:r>
      <w:proofErr w:type="gramStart"/>
      <w:r>
        <w:rPr>
          <w:rFonts w:ascii="宋体" w:eastAsia="宋体" w:hAnsi="宋体" w:cs="宋体" w:hint="eastAsia"/>
          <w:i/>
          <w:color w:val="00B050"/>
          <w:sz w:val="24"/>
          <w:szCs w:val="24"/>
        </w:rPr>
        <w:t>抗剪要求</w:t>
      </w:r>
      <w:proofErr w:type="gramEnd"/>
      <w:r>
        <w:rPr>
          <w:rFonts w:ascii="宋体" w:eastAsia="宋体" w:hAnsi="宋体" w:cs="宋体" w:hint="eastAsia"/>
          <w:i/>
          <w:color w:val="00B050"/>
          <w:sz w:val="24"/>
          <w:szCs w:val="24"/>
        </w:rPr>
        <w:t>或局部稳定性能要求时，建议首先</w:t>
      </w:r>
      <w:proofErr w:type="gramStart"/>
      <w:r>
        <w:rPr>
          <w:rFonts w:ascii="宋体" w:eastAsia="宋体" w:hAnsi="宋体" w:cs="宋体" w:hint="eastAsia"/>
          <w:i/>
          <w:color w:val="00B050"/>
          <w:sz w:val="24"/>
          <w:szCs w:val="24"/>
        </w:rPr>
        <w:t>检查拱内临时</w:t>
      </w:r>
      <w:proofErr w:type="gramEnd"/>
      <w:r>
        <w:rPr>
          <w:rFonts w:ascii="宋体" w:eastAsia="宋体" w:hAnsi="宋体" w:cs="宋体" w:hint="eastAsia"/>
          <w:i/>
          <w:color w:val="00B050"/>
          <w:sz w:val="24"/>
          <w:szCs w:val="24"/>
        </w:rPr>
        <w:t>撑杆的布置方式是否合理、顶推设备与主梁接触面顺桥向长度是否可以加大。如不能</w:t>
      </w:r>
      <w:proofErr w:type="gramStart"/>
      <w:r>
        <w:rPr>
          <w:rFonts w:ascii="宋体" w:eastAsia="宋体" w:hAnsi="宋体" w:cs="宋体" w:hint="eastAsia"/>
          <w:i/>
          <w:color w:val="00B050"/>
          <w:sz w:val="24"/>
          <w:szCs w:val="24"/>
        </w:rPr>
        <w:t>改变拱内临时</w:t>
      </w:r>
      <w:proofErr w:type="gramEnd"/>
      <w:r>
        <w:rPr>
          <w:rFonts w:ascii="宋体" w:eastAsia="宋体" w:hAnsi="宋体" w:cs="宋体" w:hint="eastAsia"/>
          <w:i/>
          <w:color w:val="00B050"/>
          <w:sz w:val="24"/>
          <w:szCs w:val="24"/>
        </w:rPr>
        <w:t>撑杆和顶推设备的设计，可以对该区段的腹板进行局部加厚或局部增设适量加劲肋。</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顶推施工的钢箱梁、钢-混组合梁、梁拱组合结构宜使顶推设备与主梁接触面间的竖向</w:t>
      </w:r>
      <w:proofErr w:type="gramStart"/>
      <w:r>
        <w:rPr>
          <w:rFonts w:ascii="宋体" w:eastAsia="宋体" w:hAnsi="宋体" w:cs="宋体" w:hint="eastAsia"/>
          <w:sz w:val="24"/>
          <w:szCs w:val="24"/>
        </w:rPr>
        <w:t>力直接</w:t>
      </w:r>
      <w:proofErr w:type="gramEnd"/>
      <w:r>
        <w:rPr>
          <w:rFonts w:ascii="宋体" w:eastAsia="宋体" w:hAnsi="宋体" w:cs="宋体" w:hint="eastAsia"/>
          <w:sz w:val="24"/>
          <w:szCs w:val="24"/>
        </w:rPr>
        <w:t>传递到主梁的腹板中，顶推设备与主梁接触面顺桥向长度应根据腹板受力要求确定。</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 钢箱梁、钢-混组合梁及梁拱组合结构在顶推施工过程中主梁会受到顶推设备的竖向支承力作用。主梁底板</w:t>
      </w:r>
      <w:proofErr w:type="gramStart"/>
      <w:r>
        <w:rPr>
          <w:rFonts w:ascii="宋体" w:eastAsia="宋体" w:hAnsi="宋体" w:cs="宋体" w:hint="eastAsia"/>
          <w:i/>
          <w:color w:val="00B050"/>
          <w:sz w:val="24"/>
          <w:szCs w:val="24"/>
        </w:rPr>
        <w:t>抵抗面</w:t>
      </w:r>
      <w:proofErr w:type="gramEnd"/>
      <w:r>
        <w:rPr>
          <w:rFonts w:ascii="宋体" w:eastAsia="宋体" w:hAnsi="宋体" w:cs="宋体" w:hint="eastAsia"/>
          <w:i/>
          <w:color w:val="00B050"/>
          <w:sz w:val="24"/>
          <w:szCs w:val="24"/>
        </w:rPr>
        <w:t>外力的能力很弱，若直接承受顶推设备的分配梁、</w:t>
      </w:r>
      <w:proofErr w:type="gramStart"/>
      <w:r>
        <w:rPr>
          <w:rFonts w:ascii="宋体" w:eastAsia="宋体" w:hAnsi="宋体" w:cs="宋体" w:hint="eastAsia"/>
          <w:i/>
          <w:color w:val="00B050"/>
          <w:sz w:val="24"/>
          <w:szCs w:val="24"/>
        </w:rPr>
        <w:t>抄垫与</w:t>
      </w:r>
      <w:proofErr w:type="gramEnd"/>
      <w:r>
        <w:rPr>
          <w:rFonts w:ascii="宋体" w:eastAsia="宋体" w:hAnsi="宋体" w:cs="宋体" w:hint="eastAsia"/>
          <w:i/>
          <w:color w:val="00B050"/>
          <w:sz w:val="24"/>
          <w:szCs w:val="24"/>
        </w:rPr>
        <w:t>主梁接触面之间的竖向力，需对底板进行额外加强，很不经济，因此，设计时应对顶推设备提出控制要求，使其与主梁接触面间的相互作用竖向</w:t>
      </w:r>
      <w:proofErr w:type="gramStart"/>
      <w:r>
        <w:rPr>
          <w:rFonts w:ascii="宋体" w:eastAsia="宋体" w:hAnsi="宋体" w:cs="宋体" w:hint="eastAsia"/>
          <w:i/>
          <w:color w:val="00B050"/>
          <w:sz w:val="24"/>
          <w:szCs w:val="24"/>
        </w:rPr>
        <w:t>力直接</w:t>
      </w:r>
      <w:proofErr w:type="gramEnd"/>
      <w:r>
        <w:rPr>
          <w:rFonts w:ascii="宋体" w:eastAsia="宋体" w:hAnsi="宋体" w:cs="宋体" w:hint="eastAsia"/>
          <w:i/>
          <w:color w:val="00B050"/>
          <w:sz w:val="24"/>
          <w:szCs w:val="24"/>
        </w:rPr>
        <w:t>传递到主梁的腹板上。为了尽量减少腹板受该竖向力的影响，应使该竖向力在顺桥向均匀扩散，且扩散范围越大越好。因此，要求顶推设备与主梁接触面顺桥向长度需要达到一定的长度，该长度根据腹板受力要求确定。</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顶推设备与主梁接触面顺桥向长度越大，腹板受力越小，但同时对顶推支墩顺桥向尺寸的要求也越高、顶推设备的尺寸也越庞大。因此，该长度除应根据腹板受力要求进行计算外，建议还要考虑顶推支墩顺桥向尺寸、现有顶推设备尺寸等因素后综合确定。</w:t>
      </w:r>
    </w:p>
    <w:p w:rsidR="00BA6061" w:rsidRDefault="00610DB9">
      <w:pPr>
        <w:pStyle w:val="ad"/>
        <w:spacing w:line="360" w:lineRule="auto"/>
        <w:ind w:firstLine="480"/>
        <w:jc w:val="left"/>
        <w:rPr>
          <w:rFonts w:ascii="宋体" w:eastAsia="宋体" w:hAnsi="宋体" w:cs="宋体"/>
          <w:sz w:val="24"/>
          <w:szCs w:val="24"/>
        </w:rPr>
      </w:pPr>
      <w:r>
        <w:rPr>
          <w:rFonts w:ascii="宋体" w:eastAsia="宋体" w:hAnsi="宋体" w:cs="宋体" w:hint="eastAsia"/>
          <w:i/>
          <w:color w:val="00B050"/>
          <w:sz w:val="24"/>
          <w:szCs w:val="24"/>
        </w:rPr>
        <w:t>当不具备将顶推设备与主梁接触面间的相互作用竖向</w:t>
      </w:r>
      <w:proofErr w:type="gramStart"/>
      <w:r>
        <w:rPr>
          <w:rFonts w:ascii="宋体" w:eastAsia="宋体" w:hAnsi="宋体" w:cs="宋体" w:hint="eastAsia"/>
          <w:i/>
          <w:color w:val="00B050"/>
          <w:sz w:val="24"/>
          <w:szCs w:val="24"/>
        </w:rPr>
        <w:t>力直接</w:t>
      </w:r>
      <w:proofErr w:type="gramEnd"/>
      <w:r>
        <w:rPr>
          <w:rFonts w:ascii="宋体" w:eastAsia="宋体" w:hAnsi="宋体" w:cs="宋体" w:hint="eastAsia"/>
          <w:i/>
          <w:color w:val="00B050"/>
          <w:sz w:val="24"/>
          <w:szCs w:val="24"/>
        </w:rPr>
        <w:t>传递到主梁的腹板的条件时，应确保该竖向力传递至主梁内的竖向板件（如横隔板等），进而平顺传递给主梁结构。无论何种条件下，均不应使主梁底板直接承受该竖向力。</w:t>
      </w:r>
    </w:p>
    <w:p w:rsidR="00BA6061" w:rsidRDefault="00610DB9">
      <w:pPr>
        <w:pStyle w:val="ad"/>
        <w:numPr>
          <w:ilvl w:val="255"/>
          <w:numId w:val="0"/>
        </w:numPr>
        <w:adjustRightInd w:val="0"/>
        <w:jc w:val="center"/>
        <w:textAlignment w:val="baseline"/>
        <w:rPr>
          <w:rStyle w:val="ae"/>
          <w:rFonts w:ascii="宋体" w:eastAsia="宋体" w:hAnsi="宋体" w:cs="宋体"/>
          <w:kern w:val="0"/>
          <w:sz w:val="21"/>
          <w:szCs w:val="21"/>
        </w:rPr>
      </w:pPr>
      <w:r>
        <w:rPr>
          <w:rStyle w:val="ae"/>
          <w:rFonts w:ascii="宋体" w:eastAsia="宋体" w:hAnsi="宋体" w:cs="宋体"/>
          <w:noProof/>
          <w:kern w:val="0"/>
          <w:sz w:val="21"/>
          <w:szCs w:val="21"/>
        </w:rPr>
        <w:drawing>
          <wp:inline distT="0" distB="0" distL="0" distR="0">
            <wp:extent cx="4319905" cy="1581150"/>
            <wp:effectExtent l="0" t="0" r="0" b="381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4319905" cy="1581150"/>
                    </a:xfrm>
                    <a:prstGeom prst="rect">
                      <a:avLst/>
                    </a:prstGeom>
                    <a:noFill/>
                    <a:ln>
                      <a:noFill/>
                    </a:ln>
                  </pic:spPr>
                </pic:pic>
              </a:graphicData>
            </a:graphic>
          </wp:inline>
        </w:drawing>
      </w:r>
    </w:p>
    <w:p w:rsidR="00BA6061" w:rsidRDefault="00610DB9">
      <w:pPr>
        <w:pStyle w:val="ad"/>
        <w:widowControl/>
        <w:numPr>
          <w:ilvl w:val="255"/>
          <w:numId w:val="0"/>
        </w:numPr>
        <w:ind w:firstLineChars="200" w:firstLine="420"/>
        <w:jc w:val="center"/>
        <w:rPr>
          <w:rFonts w:asciiTheme="minorEastAsia" w:hAnsiTheme="minorEastAsia"/>
          <w:i/>
          <w:iCs/>
          <w:color w:val="00B050"/>
          <w:szCs w:val="21"/>
        </w:rPr>
      </w:pPr>
      <w:r>
        <w:rPr>
          <w:rFonts w:asciiTheme="minorEastAsia" w:hAnsiTheme="minorEastAsia" w:hint="eastAsia"/>
          <w:i/>
          <w:iCs/>
          <w:color w:val="00B050"/>
          <w:szCs w:val="21"/>
        </w:rPr>
        <w:t>立面图                              断面图</w:t>
      </w:r>
    </w:p>
    <w:p w:rsidR="00BA6061" w:rsidRDefault="00610DB9">
      <w:pPr>
        <w:pStyle w:val="ad"/>
        <w:widowControl/>
        <w:numPr>
          <w:ilvl w:val="255"/>
          <w:numId w:val="0"/>
        </w:numPr>
        <w:adjustRightInd w:val="0"/>
        <w:spacing w:line="288" w:lineRule="auto"/>
        <w:jc w:val="center"/>
        <w:textAlignment w:val="baseline"/>
        <w:rPr>
          <w:rStyle w:val="ae"/>
          <w:rFonts w:ascii="宋体" w:eastAsia="宋体" w:hAnsi="宋体" w:cs="宋体"/>
          <w:i/>
          <w:iCs/>
          <w:color w:val="00B050"/>
          <w:kern w:val="0"/>
          <w:sz w:val="21"/>
          <w:szCs w:val="21"/>
        </w:rPr>
      </w:pPr>
      <w:r>
        <w:rPr>
          <w:rStyle w:val="ae"/>
          <w:rFonts w:ascii="宋体" w:eastAsia="宋体" w:hAnsi="宋体" w:cs="宋体" w:hint="eastAsia"/>
          <w:i/>
          <w:iCs/>
          <w:color w:val="00B050"/>
          <w:kern w:val="0"/>
          <w:sz w:val="21"/>
          <w:szCs w:val="21"/>
        </w:rPr>
        <w:t>图*  步履式顶推</w:t>
      </w:r>
      <w:r>
        <w:rPr>
          <w:rStyle w:val="ae"/>
          <w:rFonts w:ascii="宋体" w:eastAsia="宋体" w:hAnsi="宋体" w:cs="宋体"/>
          <w:i/>
          <w:iCs/>
          <w:color w:val="00B050"/>
          <w:kern w:val="0"/>
          <w:sz w:val="21"/>
          <w:szCs w:val="21"/>
        </w:rPr>
        <w:t>工法</w:t>
      </w:r>
      <w:r>
        <w:rPr>
          <w:rStyle w:val="ae"/>
          <w:rFonts w:ascii="宋体" w:eastAsia="宋体" w:hAnsi="宋体" w:cs="宋体" w:hint="eastAsia"/>
          <w:i/>
          <w:iCs/>
          <w:color w:val="00B050"/>
          <w:kern w:val="0"/>
          <w:sz w:val="21"/>
          <w:szCs w:val="21"/>
        </w:rPr>
        <w:t>示意图</w:t>
      </w:r>
    </w:p>
    <w:p w:rsidR="00BA6061" w:rsidRDefault="00610DB9">
      <w:pPr>
        <w:pStyle w:val="ad"/>
        <w:widowControl/>
        <w:numPr>
          <w:ilvl w:val="255"/>
          <w:numId w:val="0"/>
        </w:numPr>
        <w:ind w:firstLineChars="200" w:firstLine="420"/>
        <w:jc w:val="center"/>
        <w:rPr>
          <w:rFonts w:ascii="楷体" w:eastAsia="楷体" w:hAnsi="楷体"/>
          <w:i/>
          <w:iCs/>
          <w:color w:val="00B050"/>
          <w:szCs w:val="21"/>
        </w:rPr>
      </w:pPr>
      <w:r>
        <w:rPr>
          <w:rFonts w:asciiTheme="minorEastAsia" w:hAnsiTheme="minorEastAsia" w:cs="宋体" w:hint="eastAsia"/>
          <w:i/>
          <w:iCs/>
          <w:color w:val="00B050"/>
          <w:szCs w:val="21"/>
        </w:rPr>
        <w:t>1——</w:t>
      </w:r>
      <w:r>
        <w:rPr>
          <w:rFonts w:asciiTheme="minorEastAsia" w:hAnsiTheme="minorEastAsia" w:hint="eastAsia"/>
          <w:i/>
          <w:iCs/>
          <w:color w:val="00B050"/>
          <w:szCs w:val="21"/>
        </w:rPr>
        <w:t>平推千斤顶</w:t>
      </w:r>
      <w:r>
        <w:rPr>
          <w:rFonts w:asciiTheme="minorEastAsia" w:hAnsiTheme="minorEastAsia" w:cs="宋体" w:hint="eastAsia"/>
          <w:i/>
          <w:iCs/>
          <w:color w:val="00B050"/>
          <w:szCs w:val="21"/>
        </w:rPr>
        <w:t>；2——横向纠偏千斤顶；3——竖向千斤顶；4——分配梁；</w:t>
      </w:r>
      <w:r>
        <w:rPr>
          <w:rFonts w:asciiTheme="minorEastAsia" w:hAnsiTheme="minorEastAsia" w:hint="eastAsia"/>
          <w:i/>
          <w:iCs/>
          <w:color w:val="00B050"/>
          <w:szCs w:val="21"/>
        </w:rPr>
        <w:t>5——</w:t>
      </w:r>
      <w:r>
        <w:rPr>
          <w:rFonts w:asciiTheme="minorEastAsia" w:hAnsiTheme="minorEastAsia" w:cs="宋体" w:hint="eastAsia"/>
          <w:i/>
          <w:iCs/>
          <w:color w:val="00B050"/>
          <w:szCs w:val="21"/>
        </w:rPr>
        <w:t>顶推体</w:t>
      </w:r>
      <w:r>
        <w:rPr>
          <w:rFonts w:asciiTheme="minorEastAsia" w:hAnsiTheme="minorEastAsia" w:hint="eastAsia"/>
          <w:i/>
          <w:iCs/>
          <w:color w:val="00B050"/>
          <w:szCs w:val="21"/>
        </w:rPr>
        <w:t>；6——抄垫；7——顶推平台（顶推支墩）</w:t>
      </w:r>
    </w:p>
    <w:p w:rsidR="00BA6061" w:rsidRDefault="00BA6061">
      <w:pPr>
        <w:pStyle w:val="ad"/>
        <w:spacing w:line="360" w:lineRule="auto"/>
        <w:ind w:firstLineChars="0" w:firstLine="0"/>
        <w:jc w:val="left"/>
        <w:rPr>
          <w:rFonts w:ascii="宋体" w:eastAsia="宋体" w:hAnsi="宋体" w:cs="宋体"/>
          <w:sz w:val="24"/>
          <w:szCs w:val="24"/>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顶推施工钢箱梁、钢-混组合梁、梁拱组合结构的主梁腹板应根据顶推施工最不利受力进行局部稳定验算，并根据计算结果进行局部加劲设计。</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顶推施工钢箱梁、钢-混组合梁、梁拱组合结构的钢主梁底板板厚变化宜采用外缘对齐的布置方式。</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 钢主梁采用外缘对齐的方式可保证底板底面为一个平面，方便顶推施工。</w:t>
      </w:r>
    </w:p>
    <w:p w:rsidR="00BA6061" w:rsidRDefault="00BA6061">
      <w:pPr>
        <w:pStyle w:val="ad"/>
        <w:spacing w:line="360" w:lineRule="auto"/>
        <w:ind w:firstLineChars="0" w:firstLine="0"/>
        <w:jc w:val="left"/>
        <w:rPr>
          <w:rFonts w:ascii="宋体" w:eastAsia="宋体" w:hAnsi="宋体" w:cs="宋体"/>
          <w:sz w:val="24"/>
          <w:szCs w:val="24"/>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顶推设备支撑点</w:t>
      </w:r>
      <w:proofErr w:type="gramStart"/>
      <w:r>
        <w:rPr>
          <w:rFonts w:ascii="宋体" w:eastAsia="宋体" w:hAnsi="宋体" w:cs="宋体" w:hint="eastAsia"/>
          <w:sz w:val="24"/>
          <w:szCs w:val="24"/>
        </w:rPr>
        <w:t>位于边</w:t>
      </w:r>
      <w:proofErr w:type="gramEnd"/>
      <w:r>
        <w:rPr>
          <w:rFonts w:ascii="宋体" w:eastAsia="宋体" w:hAnsi="宋体" w:cs="宋体" w:hint="eastAsia"/>
          <w:sz w:val="24"/>
          <w:szCs w:val="24"/>
        </w:rPr>
        <w:t>腹板时，钢箱梁、钢-混组合梁、梁拱组合结构的钢主梁底板相对于边腹板的伸出翼缘宽度不宜小于50mm。</w:t>
      </w:r>
    </w:p>
    <w:p w:rsidR="00BA6061" w:rsidRDefault="00610DB9">
      <w:pPr>
        <w:pStyle w:val="ad"/>
        <w:spacing w:line="360" w:lineRule="auto"/>
        <w:ind w:firstLine="480"/>
        <w:jc w:val="left"/>
        <w:rPr>
          <w:rFonts w:ascii="宋体" w:eastAsia="宋体" w:hAnsi="宋体" w:cs="宋体"/>
          <w:sz w:val="24"/>
          <w:szCs w:val="24"/>
        </w:rPr>
      </w:pPr>
      <w:r>
        <w:rPr>
          <w:rFonts w:ascii="宋体" w:eastAsia="宋体" w:hAnsi="宋体" w:cs="宋体" w:hint="eastAsia"/>
          <w:i/>
          <w:color w:val="00B050"/>
          <w:sz w:val="24"/>
          <w:szCs w:val="24"/>
        </w:rPr>
        <w:t>条文说明： 钢主梁底板翼缘伸出</w:t>
      </w:r>
      <w:proofErr w:type="gramStart"/>
      <w:r>
        <w:rPr>
          <w:rFonts w:ascii="宋体" w:eastAsia="宋体" w:hAnsi="宋体" w:cs="宋体" w:hint="eastAsia"/>
          <w:i/>
          <w:color w:val="00B050"/>
          <w:sz w:val="24"/>
          <w:szCs w:val="24"/>
        </w:rPr>
        <w:t>肢</w:t>
      </w:r>
      <w:proofErr w:type="gramEnd"/>
      <w:r>
        <w:rPr>
          <w:rFonts w:ascii="宋体" w:eastAsia="宋体" w:hAnsi="宋体" w:cs="宋体" w:hint="eastAsia"/>
          <w:i/>
          <w:color w:val="00B050"/>
          <w:sz w:val="24"/>
          <w:szCs w:val="24"/>
        </w:rPr>
        <w:t>达到一定的宽度可保证顶推设备</w:t>
      </w:r>
      <w:proofErr w:type="gramStart"/>
      <w:r>
        <w:rPr>
          <w:rFonts w:ascii="宋体" w:eastAsia="宋体" w:hAnsi="宋体" w:cs="宋体" w:hint="eastAsia"/>
          <w:i/>
          <w:color w:val="00B050"/>
          <w:sz w:val="24"/>
          <w:szCs w:val="24"/>
        </w:rPr>
        <w:t>和抄垫与</w:t>
      </w:r>
      <w:proofErr w:type="gramEnd"/>
      <w:r>
        <w:rPr>
          <w:rFonts w:ascii="宋体" w:eastAsia="宋体" w:hAnsi="宋体" w:cs="宋体" w:hint="eastAsia"/>
          <w:i/>
          <w:color w:val="00B050"/>
          <w:sz w:val="24"/>
          <w:szCs w:val="24"/>
        </w:rPr>
        <w:t>主梁底板的良好接触。</w:t>
      </w:r>
    </w:p>
    <w:p w:rsidR="00BA6061" w:rsidRDefault="00610DB9">
      <w:pPr>
        <w:ind w:firstLine="360"/>
        <w:jc w:val="center"/>
        <w:rPr>
          <w:rStyle w:val="ae"/>
          <w:rFonts w:ascii="黑体" w:hAnsi="黑体"/>
          <w:kern w:val="0"/>
          <w:szCs w:val="21"/>
        </w:rPr>
      </w:pPr>
      <w:r>
        <w:rPr>
          <w:rFonts w:ascii="宋体" w:eastAsia="宋体" w:hAnsi="宋体" w:cs="宋体" w:hint="eastAsia"/>
          <w:sz w:val="24"/>
          <w:szCs w:val="24"/>
        </w:rPr>
        <w:t xml:space="preserve"> </w:t>
      </w:r>
    </w:p>
    <w:p w:rsidR="00BA6061" w:rsidRDefault="00610DB9">
      <w:pPr>
        <w:pStyle w:val="2"/>
        <w:keepNext w:val="0"/>
        <w:keepLines w:val="0"/>
        <w:numPr>
          <w:ilvl w:val="1"/>
          <w:numId w:val="1"/>
        </w:numPr>
        <w:spacing w:before="312" w:after="312" w:line="360" w:lineRule="auto"/>
        <w:ind w:left="0" w:firstLine="560"/>
        <w:jc w:val="center"/>
        <w:rPr>
          <w:rFonts w:ascii="黑体" w:hAnsi="黑体" w:cs="黑体"/>
          <w:b w:val="0"/>
          <w:kern w:val="44"/>
          <w:sz w:val="28"/>
          <w:szCs w:val="28"/>
        </w:rPr>
      </w:pPr>
      <w:bookmarkStart w:id="71" w:name="_Toc223533697"/>
      <w:bookmarkStart w:id="72" w:name="_Toc224026616"/>
      <w:r>
        <w:rPr>
          <w:rFonts w:ascii="黑体" w:hAnsi="黑体" w:cs="黑体" w:hint="eastAsia"/>
          <w:b w:val="0"/>
          <w:kern w:val="44"/>
          <w:sz w:val="28"/>
          <w:szCs w:val="28"/>
        </w:rPr>
        <w:t>临时结构设计</w:t>
      </w:r>
      <w:bookmarkEnd w:id="71"/>
      <w:bookmarkEnd w:id="72"/>
    </w:p>
    <w:p w:rsidR="00BA6061" w:rsidRDefault="00BA6061">
      <w:pPr>
        <w:pStyle w:val="ad"/>
        <w:numPr>
          <w:ilvl w:val="1"/>
          <w:numId w:val="3"/>
        </w:numPr>
        <w:spacing w:line="360" w:lineRule="auto"/>
        <w:ind w:firstLineChars="0"/>
        <w:jc w:val="left"/>
        <w:rPr>
          <w:rFonts w:ascii="宋体" w:eastAsia="宋体" w:hAnsi="宋体" w:cs="宋体"/>
          <w:vanish/>
          <w:sz w:val="24"/>
          <w:szCs w:val="24"/>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顶推临时结构设计应包括顶推平台、临时墩、导梁、</w:t>
      </w:r>
      <w:proofErr w:type="gramStart"/>
      <w:r>
        <w:rPr>
          <w:rFonts w:ascii="宋体" w:eastAsia="宋体" w:hAnsi="宋体" w:cs="宋体" w:hint="eastAsia"/>
          <w:sz w:val="24"/>
          <w:szCs w:val="24"/>
        </w:rPr>
        <w:t>拱内临时</w:t>
      </w:r>
      <w:proofErr w:type="gramEnd"/>
      <w:r>
        <w:rPr>
          <w:rFonts w:ascii="宋体" w:eastAsia="宋体" w:hAnsi="宋体" w:cs="宋体" w:hint="eastAsia"/>
          <w:sz w:val="24"/>
          <w:szCs w:val="24"/>
        </w:rPr>
        <w:t>撑杆等结构设计。</w:t>
      </w:r>
    </w:p>
    <w:p w:rsidR="00BA6061" w:rsidRDefault="00610DB9">
      <w:pPr>
        <w:pStyle w:val="ad"/>
        <w:spacing w:line="360" w:lineRule="auto"/>
        <w:ind w:firstLine="480"/>
        <w:jc w:val="left"/>
        <w:rPr>
          <w:rFonts w:ascii="宋体" w:eastAsia="宋体" w:hAnsi="宋体" w:cs="宋体"/>
          <w:sz w:val="24"/>
          <w:szCs w:val="24"/>
        </w:rPr>
      </w:pPr>
      <w:r>
        <w:rPr>
          <w:rFonts w:ascii="宋体" w:eastAsia="宋体" w:hAnsi="宋体" w:cs="宋体" w:hint="eastAsia"/>
          <w:i/>
          <w:color w:val="00B050"/>
          <w:sz w:val="24"/>
          <w:szCs w:val="24"/>
        </w:rPr>
        <w:t>条文说明： 利用桥墩结构作为顶推支墩时，如桥墩</w:t>
      </w:r>
      <w:proofErr w:type="gramStart"/>
      <w:r>
        <w:rPr>
          <w:rFonts w:ascii="宋体" w:eastAsia="宋体" w:hAnsi="宋体" w:cs="宋体" w:hint="eastAsia"/>
          <w:i/>
          <w:color w:val="00B050"/>
          <w:sz w:val="24"/>
          <w:szCs w:val="24"/>
        </w:rPr>
        <w:t>结构墩顶尺寸</w:t>
      </w:r>
      <w:proofErr w:type="gramEnd"/>
      <w:r>
        <w:rPr>
          <w:rFonts w:ascii="宋体" w:eastAsia="宋体" w:hAnsi="宋体" w:cs="宋体" w:hint="eastAsia"/>
          <w:i/>
          <w:color w:val="00B050"/>
          <w:sz w:val="24"/>
          <w:szCs w:val="24"/>
        </w:rPr>
        <w:t>不满足顶推设备、</w:t>
      </w:r>
      <w:proofErr w:type="gramStart"/>
      <w:r>
        <w:rPr>
          <w:rFonts w:ascii="宋体" w:eastAsia="宋体" w:hAnsi="宋体" w:cs="宋体" w:hint="eastAsia"/>
          <w:i/>
          <w:color w:val="00B050"/>
          <w:sz w:val="24"/>
          <w:szCs w:val="24"/>
        </w:rPr>
        <w:t>抄垫及</w:t>
      </w:r>
      <w:proofErr w:type="gramEnd"/>
      <w:r>
        <w:rPr>
          <w:rFonts w:ascii="宋体" w:eastAsia="宋体" w:hAnsi="宋体" w:cs="宋体" w:hint="eastAsia"/>
          <w:i/>
          <w:color w:val="00B050"/>
          <w:sz w:val="24"/>
          <w:szCs w:val="24"/>
        </w:rPr>
        <w:t>顶推作业等要求，可在桥墩旁设置临时托架。</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顶推施工临时结构设计应考虑桥梁主体结构、顶推工法、施工环境及既有物资设备等因素。</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顶推施工时应在</w:t>
      </w:r>
      <w:proofErr w:type="gramStart"/>
      <w:r>
        <w:rPr>
          <w:rFonts w:ascii="宋体" w:eastAsia="宋体" w:hAnsi="宋体" w:cs="宋体" w:hint="eastAsia"/>
          <w:sz w:val="24"/>
          <w:szCs w:val="24"/>
        </w:rPr>
        <w:t>墩顶设置抄</w:t>
      </w:r>
      <w:proofErr w:type="gramEnd"/>
      <w:r>
        <w:rPr>
          <w:rFonts w:ascii="宋体" w:eastAsia="宋体" w:hAnsi="宋体" w:cs="宋体" w:hint="eastAsia"/>
          <w:sz w:val="24"/>
          <w:szCs w:val="24"/>
        </w:rPr>
        <w:t>垫。</w:t>
      </w:r>
      <w:proofErr w:type="gramStart"/>
      <w:r>
        <w:rPr>
          <w:rFonts w:ascii="宋体" w:eastAsia="宋体" w:hAnsi="宋体" w:cs="宋体" w:hint="eastAsia"/>
          <w:sz w:val="24"/>
          <w:szCs w:val="24"/>
        </w:rPr>
        <w:t>抄垫设计</w:t>
      </w:r>
      <w:proofErr w:type="gramEnd"/>
      <w:r>
        <w:rPr>
          <w:rFonts w:ascii="宋体" w:eastAsia="宋体" w:hAnsi="宋体" w:cs="宋体" w:hint="eastAsia"/>
          <w:sz w:val="24"/>
          <w:szCs w:val="24"/>
        </w:rPr>
        <w:t>应符合下列规定：</w:t>
      </w:r>
    </w:p>
    <w:p w:rsidR="00BA6061" w:rsidRDefault="00610DB9">
      <w:pPr>
        <w:pStyle w:val="ad"/>
        <w:numPr>
          <w:ilvl w:val="3"/>
          <w:numId w:val="9"/>
        </w:numPr>
        <w:spacing w:line="360" w:lineRule="auto"/>
        <w:ind w:firstLine="480"/>
        <w:rPr>
          <w:rFonts w:ascii="宋体" w:eastAsia="宋体" w:hAnsi="宋体" w:cs="宋体"/>
          <w:bCs/>
          <w:sz w:val="24"/>
          <w:szCs w:val="24"/>
        </w:rPr>
      </w:pPr>
      <w:proofErr w:type="gramStart"/>
      <w:r>
        <w:rPr>
          <w:rFonts w:ascii="宋体" w:eastAsia="宋体" w:hAnsi="宋体" w:cs="宋体" w:hint="eastAsia"/>
          <w:bCs/>
          <w:sz w:val="24"/>
          <w:szCs w:val="24"/>
        </w:rPr>
        <w:t>抄垫宜</w:t>
      </w:r>
      <w:proofErr w:type="gramEnd"/>
      <w:r>
        <w:rPr>
          <w:rFonts w:ascii="宋体" w:eastAsia="宋体" w:hAnsi="宋体" w:cs="宋体" w:hint="eastAsia"/>
          <w:bCs/>
          <w:sz w:val="24"/>
          <w:szCs w:val="24"/>
        </w:rPr>
        <w:t>在顶推设备</w:t>
      </w:r>
      <w:proofErr w:type="gramStart"/>
      <w:r>
        <w:rPr>
          <w:rFonts w:ascii="宋体" w:eastAsia="宋体" w:hAnsi="宋体" w:cs="宋体" w:hint="eastAsia"/>
          <w:bCs/>
          <w:sz w:val="24"/>
          <w:szCs w:val="24"/>
        </w:rPr>
        <w:t>两侧沿顺桥</w:t>
      </w:r>
      <w:proofErr w:type="gramEnd"/>
      <w:r>
        <w:rPr>
          <w:rFonts w:ascii="宋体" w:eastAsia="宋体" w:hAnsi="宋体" w:cs="宋体" w:hint="eastAsia"/>
          <w:bCs/>
          <w:sz w:val="24"/>
          <w:szCs w:val="24"/>
        </w:rPr>
        <w:t>向对称设置。</w:t>
      </w:r>
    </w:p>
    <w:p w:rsidR="00BA6061" w:rsidRDefault="00610DB9">
      <w:pPr>
        <w:pStyle w:val="ad"/>
        <w:numPr>
          <w:ilvl w:val="3"/>
          <w:numId w:val="9"/>
        </w:numPr>
        <w:spacing w:line="360" w:lineRule="auto"/>
        <w:ind w:firstLine="480"/>
        <w:rPr>
          <w:rFonts w:ascii="宋体" w:eastAsia="宋体" w:hAnsi="宋体" w:cs="宋体"/>
          <w:bCs/>
          <w:sz w:val="24"/>
          <w:szCs w:val="24"/>
        </w:rPr>
      </w:pPr>
      <w:proofErr w:type="gramStart"/>
      <w:r>
        <w:rPr>
          <w:rFonts w:ascii="宋体" w:eastAsia="宋体" w:hAnsi="宋体" w:cs="宋体" w:hint="eastAsia"/>
          <w:bCs/>
          <w:sz w:val="24"/>
          <w:szCs w:val="24"/>
        </w:rPr>
        <w:t>抄垫横桥</w:t>
      </w:r>
      <w:proofErr w:type="gramEnd"/>
      <w:r>
        <w:rPr>
          <w:rFonts w:ascii="宋体" w:eastAsia="宋体" w:hAnsi="宋体" w:cs="宋体" w:hint="eastAsia"/>
          <w:bCs/>
          <w:sz w:val="24"/>
          <w:szCs w:val="24"/>
        </w:rPr>
        <w:t>向中心位置应与主梁腹板中心位置对应。</w:t>
      </w:r>
    </w:p>
    <w:p w:rsidR="00BA6061" w:rsidRDefault="00610DB9">
      <w:pPr>
        <w:pStyle w:val="ad"/>
        <w:numPr>
          <w:ilvl w:val="3"/>
          <w:numId w:val="9"/>
        </w:numPr>
        <w:spacing w:line="360" w:lineRule="auto"/>
        <w:ind w:firstLine="480"/>
        <w:rPr>
          <w:rFonts w:ascii="宋体" w:eastAsia="宋体" w:hAnsi="宋体" w:cs="宋体"/>
          <w:bCs/>
          <w:sz w:val="24"/>
          <w:szCs w:val="24"/>
        </w:rPr>
      </w:pPr>
      <w:proofErr w:type="gramStart"/>
      <w:r>
        <w:rPr>
          <w:rFonts w:ascii="宋体" w:eastAsia="宋体" w:hAnsi="宋体" w:cs="宋体" w:hint="eastAsia"/>
          <w:bCs/>
          <w:sz w:val="24"/>
          <w:szCs w:val="24"/>
        </w:rPr>
        <w:t>抄垫叠置</w:t>
      </w:r>
      <w:proofErr w:type="gramEnd"/>
      <w:r>
        <w:rPr>
          <w:rFonts w:ascii="宋体" w:eastAsia="宋体" w:hAnsi="宋体" w:cs="宋体" w:hint="eastAsia"/>
          <w:bCs/>
          <w:sz w:val="24"/>
          <w:szCs w:val="24"/>
        </w:rPr>
        <w:t>应满足稳定性要求，高宽比不应大于3。</w:t>
      </w:r>
    </w:p>
    <w:p w:rsidR="00BA6061" w:rsidRDefault="00610DB9">
      <w:pPr>
        <w:pStyle w:val="ad"/>
        <w:numPr>
          <w:ilvl w:val="3"/>
          <w:numId w:val="9"/>
        </w:numPr>
        <w:spacing w:line="360" w:lineRule="auto"/>
        <w:ind w:firstLine="480"/>
        <w:rPr>
          <w:rFonts w:ascii="宋体" w:eastAsia="宋体" w:hAnsi="宋体" w:cs="宋体"/>
          <w:bCs/>
          <w:sz w:val="24"/>
          <w:szCs w:val="24"/>
        </w:rPr>
      </w:pPr>
      <w:proofErr w:type="gramStart"/>
      <w:r>
        <w:rPr>
          <w:rFonts w:ascii="宋体" w:eastAsia="宋体" w:hAnsi="宋体" w:cs="宋体" w:hint="eastAsia"/>
          <w:bCs/>
          <w:sz w:val="24"/>
          <w:szCs w:val="24"/>
        </w:rPr>
        <w:t>抄垫纵向</w:t>
      </w:r>
      <w:proofErr w:type="gramEnd"/>
      <w:r>
        <w:rPr>
          <w:rFonts w:ascii="宋体" w:eastAsia="宋体" w:hAnsi="宋体" w:cs="宋体" w:hint="eastAsia"/>
          <w:bCs/>
          <w:sz w:val="24"/>
          <w:szCs w:val="24"/>
        </w:rPr>
        <w:t>长度应满足主梁腹板局部受力要求。</w:t>
      </w:r>
    </w:p>
    <w:p w:rsidR="00BA6061" w:rsidRDefault="00610DB9">
      <w:pPr>
        <w:pStyle w:val="ad"/>
        <w:numPr>
          <w:ilvl w:val="255"/>
          <w:numId w:val="0"/>
        </w:numPr>
        <w:jc w:val="center"/>
      </w:pPr>
      <w:r>
        <w:rPr>
          <w:noProof/>
        </w:rPr>
        <w:drawing>
          <wp:inline distT="0" distB="0" distL="114300" distR="114300">
            <wp:extent cx="1960880" cy="1080135"/>
            <wp:effectExtent l="0" t="0" r="5080" b="1905"/>
            <wp:docPr id="1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5"/>
                    <pic:cNvPicPr>
                      <a:picLocks noChangeAspect="1"/>
                    </pic:cNvPicPr>
                  </pic:nvPicPr>
                  <pic:blipFill>
                    <a:blip r:embed="rId15"/>
                    <a:stretch>
                      <a:fillRect/>
                    </a:stretch>
                  </pic:blipFill>
                  <pic:spPr>
                    <a:xfrm>
                      <a:off x="0" y="0"/>
                      <a:ext cx="1960880" cy="1080135"/>
                    </a:xfrm>
                    <a:prstGeom prst="rect">
                      <a:avLst/>
                    </a:prstGeom>
                    <a:noFill/>
                    <a:ln>
                      <a:noFill/>
                    </a:ln>
                  </pic:spPr>
                </pic:pic>
              </a:graphicData>
            </a:graphic>
          </wp:inline>
        </w:drawing>
      </w:r>
    </w:p>
    <w:p w:rsidR="00BA6061" w:rsidRDefault="00610DB9">
      <w:pPr>
        <w:ind w:firstLine="360"/>
        <w:jc w:val="center"/>
        <w:rPr>
          <w:rStyle w:val="ae"/>
          <w:rFonts w:ascii="黑体" w:hAnsi="黑体"/>
          <w:kern w:val="0"/>
          <w:szCs w:val="21"/>
        </w:rPr>
      </w:pPr>
      <w:r>
        <w:rPr>
          <w:rStyle w:val="ae"/>
          <w:rFonts w:ascii="黑体" w:hAnsi="黑体" w:hint="eastAsia"/>
          <w:kern w:val="0"/>
          <w:szCs w:val="21"/>
        </w:rPr>
        <w:t>图8.2.1 顶推设备、</w:t>
      </w:r>
      <w:proofErr w:type="gramStart"/>
      <w:r>
        <w:rPr>
          <w:rStyle w:val="ae"/>
          <w:rFonts w:ascii="黑体" w:hAnsi="黑体" w:hint="eastAsia"/>
          <w:kern w:val="0"/>
          <w:szCs w:val="21"/>
        </w:rPr>
        <w:t>抄垫布置</w:t>
      </w:r>
      <w:proofErr w:type="gramEnd"/>
      <w:r>
        <w:rPr>
          <w:rStyle w:val="ae"/>
          <w:rFonts w:ascii="黑体" w:hAnsi="黑体" w:hint="eastAsia"/>
          <w:kern w:val="0"/>
          <w:szCs w:val="21"/>
        </w:rPr>
        <w:t>示意图</w:t>
      </w:r>
    </w:p>
    <w:p w:rsidR="00BA6061" w:rsidRDefault="00610DB9">
      <w:pPr>
        <w:ind w:firstLine="360"/>
        <w:jc w:val="center"/>
        <w:rPr>
          <w:rStyle w:val="ae"/>
          <w:rFonts w:ascii="黑体" w:hAnsi="黑体"/>
          <w:kern w:val="0"/>
          <w:szCs w:val="21"/>
        </w:rPr>
      </w:pPr>
      <w:r>
        <w:rPr>
          <w:rStyle w:val="ae"/>
          <w:rFonts w:ascii="黑体" w:hAnsi="黑体" w:hint="eastAsia"/>
          <w:kern w:val="0"/>
          <w:szCs w:val="21"/>
        </w:rPr>
        <w:t>1——抄垫；2——顶推平台；3——顶推设备；4——顶推体。</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 步履式顶推设备的工作特点是步进运行，需要设置</w:t>
      </w:r>
      <w:proofErr w:type="gramStart"/>
      <w:r>
        <w:rPr>
          <w:rFonts w:ascii="宋体" w:eastAsia="宋体" w:hAnsi="宋体" w:cs="宋体" w:hint="eastAsia"/>
          <w:i/>
          <w:color w:val="00B050"/>
          <w:sz w:val="24"/>
          <w:szCs w:val="24"/>
        </w:rPr>
        <w:t>抄垫进行</w:t>
      </w:r>
      <w:proofErr w:type="gramEnd"/>
      <w:r>
        <w:rPr>
          <w:rFonts w:ascii="宋体" w:eastAsia="宋体" w:hAnsi="宋体" w:cs="宋体" w:hint="eastAsia"/>
          <w:i/>
          <w:color w:val="00B050"/>
          <w:sz w:val="24"/>
          <w:szCs w:val="24"/>
        </w:rPr>
        <w:t>载荷的切换。宜在</w:t>
      </w:r>
      <w:proofErr w:type="gramStart"/>
      <w:r>
        <w:rPr>
          <w:rFonts w:ascii="宋体" w:eastAsia="宋体" w:hAnsi="宋体" w:cs="宋体" w:hint="eastAsia"/>
          <w:i/>
          <w:color w:val="00B050"/>
          <w:sz w:val="24"/>
          <w:szCs w:val="24"/>
        </w:rPr>
        <w:t>步履机</w:t>
      </w:r>
      <w:proofErr w:type="gramEnd"/>
      <w:r>
        <w:rPr>
          <w:rFonts w:ascii="宋体" w:eastAsia="宋体" w:hAnsi="宋体" w:cs="宋体" w:hint="eastAsia"/>
          <w:i/>
          <w:color w:val="00B050"/>
          <w:sz w:val="24"/>
          <w:szCs w:val="24"/>
        </w:rPr>
        <w:t>的前后两侧各设置1个临时抄垫，空间尺寸有限的情况下可在一端设置1个抄垫，同时</w:t>
      </w:r>
      <w:proofErr w:type="gramStart"/>
      <w:r>
        <w:rPr>
          <w:rFonts w:ascii="宋体" w:eastAsia="宋体" w:hAnsi="宋体" w:cs="宋体" w:hint="eastAsia"/>
          <w:i/>
          <w:color w:val="00B050"/>
          <w:sz w:val="24"/>
          <w:szCs w:val="24"/>
        </w:rPr>
        <w:t>要求抄垫采用</w:t>
      </w:r>
      <w:proofErr w:type="gramEnd"/>
      <w:r>
        <w:rPr>
          <w:rFonts w:ascii="宋体" w:eastAsia="宋体" w:hAnsi="宋体" w:cs="宋体" w:hint="eastAsia"/>
          <w:i/>
          <w:color w:val="00B050"/>
          <w:sz w:val="24"/>
          <w:szCs w:val="24"/>
        </w:rPr>
        <w:t>合理的构造，以</w:t>
      </w:r>
      <w:proofErr w:type="gramStart"/>
      <w:r>
        <w:rPr>
          <w:rFonts w:ascii="宋体" w:eastAsia="宋体" w:hAnsi="宋体" w:cs="宋体" w:hint="eastAsia"/>
          <w:i/>
          <w:color w:val="00B050"/>
          <w:sz w:val="24"/>
          <w:szCs w:val="24"/>
        </w:rPr>
        <w:t>保证抄垫与</w:t>
      </w:r>
      <w:proofErr w:type="gramEnd"/>
      <w:r>
        <w:rPr>
          <w:rFonts w:ascii="宋体" w:eastAsia="宋体" w:hAnsi="宋体" w:cs="宋体" w:hint="eastAsia"/>
          <w:i/>
          <w:color w:val="00B050"/>
          <w:sz w:val="24"/>
          <w:szCs w:val="24"/>
        </w:rPr>
        <w:t>主梁接触面间的相互作用竖向</w:t>
      </w:r>
      <w:proofErr w:type="gramStart"/>
      <w:r>
        <w:rPr>
          <w:rFonts w:ascii="宋体" w:eastAsia="宋体" w:hAnsi="宋体" w:cs="宋体" w:hint="eastAsia"/>
          <w:i/>
          <w:color w:val="00B050"/>
          <w:sz w:val="24"/>
          <w:szCs w:val="24"/>
        </w:rPr>
        <w:t>力直接</w:t>
      </w:r>
      <w:proofErr w:type="gramEnd"/>
      <w:r>
        <w:rPr>
          <w:rFonts w:ascii="宋体" w:eastAsia="宋体" w:hAnsi="宋体" w:cs="宋体" w:hint="eastAsia"/>
          <w:i/>
          <w:color w:val="00B050"/>
          <w:sz w:val="24"/>
          <w:szCs w:val="24"/>
        </w:rPr>
        <w:t>传递到主梁的腹板中。</w:t>
      </w:r>
      <w:proofErr w:type="gramStart"/>
      <w:r>
        <w:rPr>
          <w:rFonts w:ascii="宋体" w:eastAsia="宋体" w:hAnsi="宋体" w:cs="宋体" w:hint="eastAsia"/>
          <w:i/>
          <w:color w:val="00B050"/>
          <w:sz w:val="24"/>
          <w:szCs w:val="24"/>
        </w:rPr>
        <w:t>抄垫具备</w:t>
      </w:r>
      <w:proofErr w:type="gramEnd"/>
      <w:r>
        <w:rPr>
          <w:rFonts w:ascii="宋体" w:eastAsia="宋体" w:hAnsi="宋体" w:cs="宋体" w:hint="eastAsia"/>
          <w:i/>
          <w:color w:val="00B050"/>
          <w:sz w:val="24"/>
          <w:szCs w:val="24"/>
        </w:rPr>
        <w:t>足够的刚度和纵向尺寸，以保证其与主梁接触面间的相互作用竖向力在纵向均匀扩散至需要的范围。</w:t>
      </w:r>
    </w:p>
    <w:p w:rsidR="00BA6061" w:rsidRDefault="00610DB9">
      <w:pPr>
        <w:pStyle w:val="ad"/>
        <w:spacing w:line="360" w:lineRule="auto"/>
        <w:ind w:firstLine="480"/>
        <w:jc w:val="left"/>
        <w:rPr>
          <w:rFonts w:ascii="宋体" w:eastAsia="宋体" w:hAnsi="宋体" w:cs="宋体"/>
          <w:sz w:val="24"/>
          <w:szCs w:val="24"/>
        </w:rPr>
      </w:pPr>
      <w:r>
        <w:rPr>
          <w:rFonts w:ascii="宋体" w:eastAsia="宋体" w:hAnsi="宋体" w:cs="宋体" w:hint="eastAsia"/>
          <w:i/>
          <w:color w:val="00B050"/>
          <w:sz w:val="24"/>
          <w:szCs w:val="24"/>
        </w:rPr>
        <w:t>顶推设备竖向顶升时，主梁会受到顶推设备的竖向支承力作用。主梁底板</w:t>
      </w:r>
      <w:proofErr w:type="gramStart"/>
      <w:r>
        <w:rPr>
          <w:rFonts w:ascii="宋体" w:eastAsia="宋体" w:hAnsi="宋体" w:cs="宋体" w:hint="eastAsia"/>
          <w:i/>
          <w:color w:val="00B050"/>
          <w:sz w:val="24"/>
          <w:szCs w:val="24"/>
        </w:rPr>
        <w:t>抵抗面</w:t>
      </w:r>
      <w:proofErr w:type="gramEnd"/>
      <w:r>
        <w:rPr>
          <w:rFonts w:ascii="宋体" w:eastAsia="宋体" w:hAnsi="宋体" w:cs="宋体" w:hint="eastAsia"/>
          <w:i/>
          <w:color w:val="00B050"/>
          <w:sz w:val="24"/>
          <w:szCs w:val="24"/>
        </w:rPr>
        <w:t>外力的能力很弱，若直接承受顶推设备与主梁接触面之间的竖向力，需对底板进行额外加强，很不经济，因此，设计时应对顶推设备提出控制要求，使其能够确保与主梁接触面间的相互作用竖向</w:t>
      </w:r>
      <w:proofErr w:type="gramStart"/>
      <w:r>
        <w:rPr>
          <w:rFonts w:ascii="宋体" w:eastAsia="宋体" w:hAnsi="宋体" w:cs="宋体" w:hint="eastAsia"/>
          <w:i/>
          <w:color w:val="00B050"/>
          <w:sz w:val="24"/>
          <w:szCs w:val="24"/>
        </w:rPr>
        <w:t>力直接</w:t>
      </w:r>
      <w:proofErr w:type="gramEnd"/>
      <w:r>
        <w:rPr>
          <w:rFonts w:ascii="宋体" w:eastAsia="宋体" w:hAnsi="宋体" w:cs="宋体" w:hint="eastAsia"/>
          <w:i/>
          <w:color w:val="00B050"/>
          <w:sz w:val="24"/>
          <w:szCs w:val="24"/>
        </w:rPr>
        <w:t>传递到主梁的腹板上。为了尽量减少腹板受该竖向力的影响，应使该竖向力在顺桥向均匀扩散，且扩散范围越大越好。但扩散范围越大，对桥墩顺桥向尺寸的要求也越高、顶推设备的尺寸也越庞大。因此，规定扩散长度应根据腹板受力要求进行计算并考虑桥墩顺桥向尺寸、顶推设备尺寸等因素后综合确定。</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步履式顶推施工宜在顶推设备顶面</w:t>
      </w:r>
      <w:proofErr w:type="gramStart"/>
      <w:r>
        <w:rPr>
          <w:rFonts w:ascii="宋体" w:eastAsia="宋体" w:hAnsi="宋体" w:cs="宋体" w:hint="eastAsia"/>
          <w:sz w:val="24"/>
          <w:szCs w:val="24"/>
        </w:rPr>
        <w:t>和抄垫顶面</w:t>
      </w:r>
      <w:proofErr w:type="gramEnd"/>
      <w:r>
        <w:rPr>
          <w:rFonts w:ascii="宋体" w:eastAsia="宋体" w:hAnsi="宋体" w:cs="宋体" w:hint="eastAsia"/>
          <w:sz w:val="24"/>
          <w:szCs w:val="24"/>
        </w:rPr>
        <w:t>设置保护垫块。</w:t>
      </w:r>
    </w:p>
    <w:p w:rsidR="00BA6061" w:rsidRDefault="00610DB9">
      <w:pPr>
        <w:pStyle w:val="ad"/>
        <w:spacing w:line="360" w:lineRule="auto"/>
        <w:ind w:firstLine="480"/>
        <w:jc w:val="left"/>
        <w:rPr>
          <w:rFonts w:ascii="宋体" w:eastAsia="宋体" w:hAnsi="宋体" w:cs="宋体"/>
          <w:sz w:val="24"/>
          <w:szCs w:val="24"/>
        </w:rPr>
      </w:pPr>
      <w:r>
        <w:rPr>
          <w:rFonts w:ascii="宋体" w:eastAsia="宋体" w:hAnsi="宋体" w:cs="宋体" w:hint="eastAsia"/>
          <w:i/>
          <w:color w:val="00B050"/>
          <w:sz w:val="24"/>
          <w:szCs w:val="24"/>
        </w:rPr>
        <w:t>条文说明： 顶推设备顶面、</w:t>
      </w:r>
      <w:proofErr w:type="gramStart"/>
      <w:r>
        <w:rPr>
          <w:rFonts w:ascii="宋体" w:eastAsia="宋体" w:hAnsi="宋体" w:cs="宋体" w:hint="eastAsia"/>
          <w:i/>
          <w:color w:val="00B050"/>
          <w:sz w:val="24"/>
          <w:szCs w:val="24"/>
        </w:rPr>
        <w:t>抄垫顶面</w:t>
      </w:r>
      <w:proofErr w:type="gramEnd"/>
      <w:r>
        <w:rPr>
          <w:rFonts w:ascii="宋体" w:eastAsia="宋体" w:hAnsi="宋体" w:cs="宋体" w:hint="eastAsia"/>
          <w:i/>
          <w:color w:val="00B050"/>
          <w:sz w:val="24"/>
          <w:szCs w:val="24"/>
        </w:rPr>
        <w:t>设置</w:t>
      </w:r>
      <w:proofErr w:type="gramStart"/>
      <w:r>
        <w:rPr>
          <w:rFonts w:ascii="宋体" w:eastAsia="宋体" w:hAnsi="宋体" w:cs="宋体" w:hint="eastAsia"/>
          <w:i/>
          <w:color w:val="00B050"/>
          <w:sz w:val="24"/>
          <w:szCs w:val="24"/>
        </w:rPr>
        <w:t>保护垫块主要</w:t>
      </w:r>
      <w:proofErr w:type="gramEnd"/>
      <w:r>
        <w:rPr>
          <w:rFonts w:ascii="宋体" w:eastAsia="宋体" w:hAnsi="宋体" w:cs="宋体" w:hint="eastAsia"/>
          <w:i/>
          <w:color w:val="00B050"/>
          <w:sz w:val="24"/>
          <w:szCs w:val="24"/>
        </w:rPr>
        <w:t>起到均匀受力和减少冲击力的作用。</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顶推平台及临时</w:t>
      </w:r>
      <w:proofErr w:type="gramStart"/>
      <w:r>
        <w:rPr>
          <w:rFonts w:ascii="宋体" w:eastAsia="宋体" w:hAnsi="宋体" w:cs="宋体" w:hint="eastAsia"/>
          <w:sz w:val="24"/>
          <w:szCs w:val="24"/>
        </w:rPr>
        <w:t>墩</w:t>
      </w:r>
      <w:proofErr w:type="gramEnd"/>
      <w:r>
        <w:rPr>
          <w:rFonts w:ascii="宋体" w:eastAsia="宋体" w:hAnsi="宋体" w:cs="宋体" w:hint="eastAsia"/>
          <w:sz w:val="24"/>
          <w:szCs w:val="24"/>
        </w:rPr>
        <w:t>基础应根据施工现场条件和地质条件确定。</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顶推施工跨越航道、道路时，应对临时</w:t>
      </w:r>
      <w:proofErr w:type="gramStart"/>
      <w:r>
        <w:rPr>
          <w:rFonts w:ascii="宋体" w:eastAsia="宋体" w:hAnsi="宋体" w:cs="宋体" w:hint="eastAsia"/>
          <w:sz w:val="24"/>
          <w:szCs w:val="24"/>
        </w:rPr>
        <w:t>墩</w:t>
      </w:r>
      <w:proofErr w:type="gramEnd"/>
      <w:r>
        <w:rPr>
          <w:rFonts w:ascii="宋体" w:eastAsia="宋体" w:hAnsi="宋体" w:cs="宋体" w:hint="eastAsia"/>
          <w:sz w:val="24"/>
          <w:szCs w:val="24"/>
        </w:rPr>
        <w:t>进行防撞设计，并应符合下列规定：</w:t>
      </w:r>
    </w:p>
    <w:p w:rsidR="00BA6061" w:rsidRDefault="00610DB9">
      <w:pPr>
        <w:pStyle w:val="ad"/>
        <w:numPr>
          <w:ilvl w:val="3"/>
          <w:numId w:val="10"/>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涉航道施工应进行航道安全、防撞安全保障措施专项设计，并应符合现行国家标准《内河通航标准》GB 50139的规定。</w:t>
      </w:r>
    </w:p>
    <w:p w:rsidR="00BA6061" w:rsidRDefault="00610DB9">
      <w:pPr>
        <w:pStyle w:val="ad"/>
        <w:numPr>
          <w:ilvl w:val="3"/>
          <w:numId w:val="10"/>
        </w:numPr>
        <w:spacing w:line="360" w:lineRule="auto"/>
        <w:ind w:firstLine="480"/>
        <w:rPr>
          <w:rFonts w:ascii="宋体" w:eastAsia="宋体" w:hAnsi="宋体" w:cs="宋体"/>
          <w:bCs/>
          <w:sz w:val="24"/>
          <w:szCs w:val="24"/>
        </w:rPr>
      </w:pPr>
      <w:proofErr w:type="gramStart"/>
      <w:r>
        <w:rPr>
          <w:rFonts w:ascii="宋体" w:eastAsia="宋体" w:hAnsi="宋体" w:cs="宋体" w:hint="eastAsia"/>
          <w:bCs/>
          <w:sz w:val="24"/>
          <w:szCs w:val="24"/>
        </w:rPr>
        <w:t>涉路施工</w:t>
      </w:r>
      <w:proofErr w:type="gramEnd"/>
      <w:r>
        <w:rPr>
          <w:rFonts w:ascii="宋体" w:eastAsia="宋体" w:hAnsi="宋体" w:cs="宋体" w:hint="eastAsia"/>
          <w:bCs/>
          <w:sz w:val="24"/>
          <w:szCs w:val="24"/>
        </w:rPr>
        <w:t>应进行控制作业区、安全防护设施的专项设计，并应符合</w:t>
      </w:r>
      <w:proofErr w:type="gramStart"/>
      <w:r>
        <w:rPr>
          <w:rFonts w:ascii="宋体" w:eastAsia="宋体" w:hAnsi="宋体" w:cs="宋体" w:hint="eastAsia"/>
          <w:bCs/>
          <w:sz w:val="24"/>
          <w:szCs w:val="24"/>
        </w:rPr>
        <w:t>现行行业</w:t>
      </w:r>
      <w:proofErr w:type="gramEnd"/>
      <w:r>
        <w:rPr>
          <w:rFonts w:ascii="宋体" w:eastAsia="宋体" w:hAnsi="宋体" w:cs="宋体" w:hint="eastAsia"/>
          <w:bCs/>
          <w:sz w:val="24"/>
          <w:szCs w:val="24"/>
        </w:rPr>
        <w:t>标准《公路养护安全作业规程》JTG H30和现行本市地方标准《城市道路养护维修作业安全技术规程》DG/TJ 08-2183的规定。</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顶推平台轴线应与桥梁主体结构轴线的延长线或合理顶推轨迹线重合。顶推平台长度宜不小于3个梁段的长度，同时应满足梁段拼装和顶推施工的要求。</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顶推平台和</w:t>
      </w:r>
      <w:proofErr w:type="gramStart"/>
      <w:r>
        <w:rPr>
          <w:rFonts w:ascii="宋体" w:eastAsia="宋体" w:hAnsi="宋体" w:cs="宋体" w:hint="eastAsia"/>
          <w:sz w:val="24"/>
          <w:szCs w:val="24"/>
        </w:rPr>
        <w:t>临时墩顶应</w:t>
      </w:r>
      <w:proofErr w:type="gramEnd"/>
      <w:r>
        <w:rPr>
          <w:rFonts w:ascii="宋体" w:eastAsia="宋体" w:hAnsi="宋体" w:cs="宋体" w:hint="eastAsia"/>
          <w:sz w:val="24"/>
          <w:szCs w:val="24"/>
        </w:rPr>
        <w:t>设置可调整顶推体平面位置以及高程的装置，平曲线上顶推施工时，应满足顶推体曲线偏转要求。</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8.4.12~8.4.13条文说明： 顶推平台作为顶推施工桥梁拼装和顶推施工始发场地，顶推平台的长度主要考虑满足梁段无应力线形安装、顶推设备安装以及顶推施工作业等空间需要确定，顶推平台的标高根据顶推线形（桥梁主体结构纵坡）、千斤顶</w:t>
      </w:r>
      <w:proofErr w:type="gramStart"/>
      <w:r>
        <w:rPr>
          <w:rFonts w:ascii="宋体" w:eastAsia="宋体" w:hAnsi="宋体" w:cs="宋体" w:hint="eastAsia"/>
          <w:i/>
          <w:color w:val="00B050"/>
          <w:sz w:val="24"/>
          <w:szCs w:val="24"/>
        </w:rPr>
        <w:t>与滑靴等</w:t>
      </w:r>
      <w:proofErr w:type="gramEnd"/>
      <w:r>
        <w:rPr>
          <w:rFonts w:ascii="宋体" w:eastAsia="宋体" w:hAnsi="宋体" w:cs="宋体" w:hint="eastAsia"/>
          <w:i/>
          <w:color w:val="00B050"/>
          <w:sz w:val="24"/>
          <w:szCs w:val="24"/>
        </w:rPr>
        <w:t>顶推设备高度、落梁高度等确定。</w:t>
      </w:r>
    </w:p>
    <w:p w:rsidR="00BA6061" w:rsidRDefault="00610DB9">
      <w:pPr>
        <w:pStyle w:val="ad"/>
        <w:spacing w:line="360" w:lineRule="auto"/>
        <w:ind w:firstLine="480"/>
        <w:jc w:val="left"/>
        <w:rPr>
          <w:rFonts w:ascii="宋体" w:eastAsia="宋体" w:hAnsi="宋体" w:cs="宋体"/>
          <w:sz w:val="24"/>
          <w:szCs w:val="24"/>
        </w:rPr>
      </w:pPr>
      <w:r>
        <w:rPr>
          <w:rFonts w:ascii="宋体" w:eastAsia="宋体" w:hAnsi="宋体" w:cs="宋体" w:hint="eastAsia"/>
          <w:i/>
          <w:color w:val="00B050"/>
          <w:sz w:val="24"/>
          <w:szCs w:val="24"/>
        </w:rPr>
        <w:t>顶推过程中，避免</w:t>
      </w:r>
      <w:proofErr w:type="gramStart"/>
      <w:r>
        <w:rPr>
          <w:rFonts w:ascii="宋体" w:eastAsia="宋体" w:hAnsi="宋体" w:cs="宋体" w:hint="eastAsia"/>
          <w:i/>
          <w:color w:val="00B050"/>
          <w:sz w:val="24"/>
          <w:szCs w:val="24"/>
        </w:rPr>
        <w:t>顶推体因偏离</w:t>
      </w:r>
      <w:proofErr w:type="gramEnd"/>
      <w:r>
        <w:rPr>
          <w:rFonts w:ascii="宋体" w:eastAsia="宋体" w:hAnsi="宋体" w:cs="宋体" w:hint="eastAsia"/>
          <w:i/>
          <w:color w:val="00B050"/>
          <w:sz w:val="24"/>
          <w:szCs w:val="24"/>
        </w:rPr>
        <w:t>顶推轨迹线、受力不平衡，梁底与临时支撑结构不密</w:t>
      </w:r>
      <w:proofErr w:type="gramStart"/>
      <w:r>
        <w:rPr>
          <w:rFonts w:ascii="宋体" w:eastAsia="宋体" w:hAnsi="宋体" w:cs="宋体" w:hint="eastAsia"/>
          <w:i/>
          <w:color w:val="00B050"/>
          <w:sz w:val="24"/>
          <w:szCs w:val="24"/>
        </w:rPr>
        <w:t>贴产生</w:t>
      </w:r>
      <w:proofErr w:type="gramEnd"/>
      <w:r>
        <w:rPr>
          <w:rFonts w:ascii="宋体" w:eastAsia="宋体" w:hAnsi="宋体" w:cs="宋体" w:hint="eastAsia"/>
          <w:i/>
          <w:color w:val="00B050"/>
          <w:sz w:val="24"/>
          <w:szCs w:val="24"/>
        </w:rPr>
        <w:t>局部应力过大，因此需要在顶推平台和临时</w:t>
      </w:r>
      <w:proofErr w:type="gramStart"/>
      <w:r>
        <w:rPr>
          <w:rFonts w:ascii="宋体" w:eastAsia="宋体" w:hAnsi="宋体" w:cs="宋体" w:hint="eastAsia"/>
          <w:i/>
          <w:color w:val="00B050"/>
          <w:sz w:val="24"/>
          <w:szCs w:val="24"/>
        </w:rPr>
        <w:t>墩顶设置</w:t>
      </w:r>
      <w:proofErr w:type="gramEnd"/>
      <w:r>
        <w:rPr>
          <w:rFonts w:ascii="宋体" w:eastAsia="宋体" w:hAnsi="宋体" w:cs="宋体" w:hint="eastAsia"/>
          <w:i/>
          <w:color w:val="00B050"/>
          <w:sz w:val="24"/>
          <w:szCs w:val="24"/>
        </w:rPr>
        <w:t>可调整桥梁主体结构平面位置以及高程的装置。根据《公路桥涵施工技术规范》（JTG/T 3650-2020）相关规定，台座的轴线应与桥梁轴线的延长线重合，纵坡应一致，两轴线间的偏差应不大于5mm；相邻两支承点上台座中滑移装置的纵向顶面高程差应不大于2mm；同一支承点上滑移装置的横向顶面高程差应不大于1mm；台座（包括滑移装置）和梁段底模板顶面高程差应不大于2mm。</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导梁宜根据运输拼装条件采用分节设计拼装，节段间连接宜采用高强螺栓连接，横桥向多</w:t>
      </w:r>
      <w:proofErr w:type="gramStart"/>
      <w:r>
        <w:rPr>
          <w:rFonts w:ascii="宋体" w:eastAsia="宋体" w:hAnsi="宋体" w:cs="宋体" w:hint="eastAsia"/>
          <w:sz w:val="24"/>
          <w:szCs w:val="24"/>
        </w:rPr>
        <w:t>榀</w:t>
      </w:r>
      <w:proofErr w:type="gramEnd"/>
      <w:r>
        <w:rPr>
          <w:rFonts w:ascii="宋体" w:eastAsia="宋体" w:hAnsi="宋体" w:cs="宋体" w:hint="eastAsia"/>
          <w:sz w:val="24"/>
          <w:szCs w:val="24"/>
        </w:rPr>
        <w:t>导梁之间应设置横向连接系。</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导梁设计宜使桥梁主体结构在顶推施工过程中的最大内力与承载能力接近，且应符合下列规定：</w:t>
      </w:r>
    </w:p>
    <w:p w:rsidR="00BA6061" w:rsidRDefault="00610DB9">
      <w:pPr>
        <w:pStyle w:val="ad"/>
        <w:numPr>
          <w:ilvl w:val="3"/>
          <w:numId w:val="11"/>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导梁长度宜为最大顶推跨径的0.6～0.8倍，其刚度宜为主梁刚度的1/9～1/15。</w:t>
      </w:r>
    </w:p>
    <w:p w:rsidR="00BA6061" w:rsidRDefault="00610DB9">
      <w:pPr>
        <w:pStyle w:val="ad"/>
        <w:numPr>
          <w:ilvl w:val="3"/>
          <w:numId w:val="11"/>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导梁与主梁连接可采用焊接连接、高强螺栓连接等方式，并应满足等强连接要求。</w:t>
      </w:r>
    </w:p>
    <w:p w:rsidR="00BA6061" w:rsidRDefault="00610DB9">
      <w:pPr>
        <w:pStyle w:val="ad"/>
        <w:numPr>
          <w:ilvl w:val="3"/>
          <w:numId w:val="11"/>
        </w:numPr>
        <w:spacing w:line="360" w:lineRule="auto"/>
        <w:ind w:firstLine="480"/>
        <w:rPr>
          <w:rFonts w:ascii="宋体" w:eastAsia="宋体" w:hAnsi="宋体" w:cs="宋体"/>
          <w:sz w:val="24"/>
          <w:szCs w:val="24"/>
        </w:rPr>
      </w:pPr>
      <w:r>
        <w:rPr>
          <w:rFonts w:ascii="宋体" w:eastAsia="宋体" w:hAnsi="宋体" w:cs="宋体" w:hint="eastAsia"/>
          <w:sz w:val="24"/>
          <w:szCs w:val="24"/>
        </w:rPr>
        <w:t>导梁与主梁的主要受力板件应对应设置，当不对应时应设置过渡连接构造。</w:t>
      </w:r>
    </w:p>
    <w:p w:rsidR="00BA6061" w:rsidRDefault="00610DB9">
      <w:pPr>
        <w:pStyle w:val="ad"/>
        <w:numPr>
          <w:ilvl w:val="3"/>
          <w:numId w:val="11"/>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导梁宜采用底板齐平的</w:t>
      </w:r>
      <w:proofErr w:type="gramStart"/>
      <w:r>
        <w:rPr>
          <w:rFonts w:ascii="宋体" w:eastAsia="宋体" w:hAnsi="宋体" w:cs="宋体" w:hint="eastAsia"/>
          <w:bCs/>
          <w:sz w:val="24"/>
          <w:szCs w:val="24"/>
        </w:rPr>
        <w:t>变高度梁</w:t>
      </w:r>
      <w:proofErr w:type="gramEnd"/>
      <w:r>
        <w:rPr>
          <w:rFonts w:ascii="宋体" w:eastAsia="宋体" w:hAnsi="宋体" w:cs="宋体" w:hint="eastAsia"/>
          <w:bCs/>
          <w:sz w:val="24"/>
          <w:szCs w:val="24"/>
        </w:rPr>
        <w:t>，且应与主梁底面齐平，导梁前端应采用</w:t>
      </w:r>
      <w:proofErr w:type="gramStart"/>
      <w:r>
        <w:rPr>
          <w:rFonts w:ascii="宋体" w:eastAsia="宋体" w:hAnsi="宋体" w:cs="宋体" w:hint="eastAsia"/>
          <w:bCs/>
          <w:sz w:val="24"/>
          <w:szCs w:val="24"/>
        </w:rPr>
        <w:t>上墩时的</w:t>
      </w:r>
      <w:proofErr w:type="gramEnd"/>
      <w:r>
        <w:rPr>
          <w:rFonts w:ascii="宋体" w:eastAsia="宋体" w:hAnsi="宋体" w:cs="宋体" w:hint="eastAsia"/>
          <w:bCs/>
          <w:sz w:val="24"/>
          <w:szCs w:val="24"/>
        </w:rPr>
        <w:t>挠度补偿措施，补偿措施可采用导梁前端底面台阶构造（图8.4.16）或液压顶升装置等。</w:t>
      </w:r>
    </w:p>
    <w:p w:rsidR="00BA6061" w:rsidRDefault="00610DB9">
      <w:pPr>
        <w:pStyle w:val="ad"/>
        <w:numPr>
          <w:ilvl w:val="3"/>
          <w:numId w:val="11"/>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导梁可采用腹板开孔等措施减轻自重。</w:t>
      </w:r>
    </w:p>
    <w:p w:rsidR="00BA6061" w:rsidRDefault="00610DB9">
      <w:pPr>
        <w:pStyle w:val="ad"/>
        <w:numPr>
          <w:ilvl w:val="3"/>
          <w:numId w:val="11"/>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平曲线顶推施工时，导梁可设置成直线，并与</w:t>
      </w:r>
      <w:r>
        <w:rPr>
          <w:rFonts w:ascii="宋体" w:eastAsia="宋体" w:hAnsi="宋体" w:cs="宋体" w:hint="eastAsia"/>
          <w:sz w:val="24"/>
          <w:szCs w:val="24"/>
        </w:rPr>
        <w:t>桥梁主体结构</w:t>
      </w:r>
      <w:r>
        <w:rPr>
          <w:rFonts w:ascii="宋体" w:eastAsia="宋体" w:hAnsi="宋体" w:cs="宋体" w:hint="eastAsia"/>
          <w:bCs/>
          <w:sz w:val="24"/>
          <w:szCs w:val="24"/>
        </w:rPr>
        <w:t>偏转一定的角度，使导梁前端的中心落在设计圆曲线或合理顶推轨迹线上。</w:t>
      </w:r>
    </w:p>
    <w:p w:rsidR="00BA6061" w:rsidRDefault="00610DB9">
      <w:pPr>
        <w:pStyle w:val="ad"/>
        <w:numPr>
          <w:ilvl w:val="255"/>
          <w:numId w:val="0"/>
        </w:numPr>
        <w:jc w:val="center"/>
        <w:rPr>
          <w:rFonts w:ascii="宋体" w:hAnsi="宋体" w:cs="宋体"/>
          <w:szCs w:val="24"/>
        </w:rPr>
      </w:pPr>
      <w:r>
        <w:rPr>
          <w:noProof/>
        </w:rPr>
        <w:drawing>
          <wp:inline distT="0" distB="0" distL="114300" distR="114300">
            <wp:extent cx="2520315" cy="612775"/>
            <wp:effectExtent l="0" t="0" r="9525" b="12065"/>
            <wp:docPr id="1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6"/>
                    <pic:cNvPicPr>
                      <a:picLocks noChangeAspect="1"/>
                    </pic:cNvPicPr>
                  </pic:nvPicPr>
                  <pic:blipFill>
                    <a:blip r:embed="rId16"/>
                    <a:stretch>
                      <a:fillRect/>
                    </a:stretch>
                  </pic:blipFill>
                  <pic:spPr>
                    <a:xfrm>
                      <a:off x="0" y="0"/>
                      <a:ext cx="2520315" cy="612775"/>
                    </a:xfrm>
                    <a:prstGeom prst="rect">
                      <a:avLst/>
                    </a:prstGeom>
                    <a:noFill/>
                    <a:ln>
                      <a:noFill/>
                    </a:ln>
                  </pic:spPr>
                </pic:pic>
              </a:graphicData>
            </a:graphic>
          </wp:inline>
        </w:drawing>
      </w:r>
    </w:p>
    <w:p w:rsidR="00BA6061" w:rsidRDefault="00610DB9">
      <w:pPr>
        <w:ind w:firstLine="360"/>
        <w:jc w:val="center"/>
        <w:rPr>
          <w:rStyle w:val="ae"/>
          <w:rFonts w:ascii="黑体" w:hAnsi="黑体"/>
          <w:kern w:val="0"/>
          <w:szCs w:val="21"/>
        </w:rPr>
      </w:pPr>
      <w:r>
        <w:rPr>
          <w:rStyle w:val="ae"/>
          <w:rFonts w:ascii="黑体" w:hAnsi="黑体" w:hint="eastAsia"/>
          <w:kern w:val="0"/>
          <w:szCs w:val="21"/>
        </w:rPr>
        <w:t>图8.2.2  导梁前端底面台阶构造示意图</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 顶推过程中，导梁前端会下挠，在导梁前端即将上墩时，需要对端部进行抬高，所以在设定导梁长度时，不能一味加长，还要控制端部最大挠度，常见做法有：①在控制导梁自重的基础上增加其刚度，可采用双拼工字形或桁架结构导梁，工字形导梁的腹板可适当开孔降低自重，也可减小风阻。②导梁前端采用底面台阶构造或液压顶升装置，可在一定程度上提高施工便利性。</w:t>
      </w:r>
    </w:p>
    <w:p w:rsidR="00BA6061" w:rsidRDefault="00610DB9">
      <w:pPr>
        <w:pStyle w:val="ad"/>
        <w:spacing w:line="360" w:lineRule="auto"/>
        <w:ind w:firstLine="480"/>
        <w:jc w:val="left"/>
        <w:rPr>
          <w:rStyle w:val="ae"/>
          <w:rFonts w:ascii="黑体" w:hAnsi="黑体"/>
          <w:kern w:val="0"/>
          <w:szCs w:val="21"/>
        </w:rPr>
      </w:pPr>
      <w:r>
        <w:rPr>
          <w:rFonts w:ascii="宋体" w:eastAsia="宋体" w:hAnsi="宋体" w:cs="宋体" w:hint="eastAsia"/>
          <w:i/>
          <w:color w:val="00B050"/>
          <w:sz w:val="24"/>
          <w:szCs w:val="24"/>
        </w:rPr>
        <w:t>导梁可设置成直线形，且导梁前端的中心应落在设计线形的中线上，以确保顶推过程中的精确导向和线形控制，顺利上墩。</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梁拱组合结构顶推施工</w:t>
      </w:r>
      <w:proofErr w:type="gramStart"/>
      <w:r>
        <w:rPr>
          <w:rFonts w:ascii="宋体" w:eastAsia="宋体" w:hAnsi="宋体" w:cs="宋体" w:hint="eastAsia"/>
          <w:sz w:val="24"/>
          <w:szCs w:val="24"/>
        </w:rPr>
        <w:t>宜设置连接主拱</w:t>
      </w:r>
      <w:proofErr w:type="gramEnd"/>
      <w:r>
        <w:rPr>
          <w:rFonts w:ascii="宋体" w:eastAsia="宋体" w:hAnsi="宋体" w:cs="宋体" w:hint="eastAsia"/>
          <w:sz w:val="24"/>
          <w:szCs w:val="24"/>
        </w:rPr>
        <w:t>和主梁</w:t>
      </w:r>
      <w:proofErr w:type="gramStart"/>
      <w:r>
        <w:rPr>
          <w:rFonts w:ascii="宋体" w:eastAsia="宋体" w:hAnsi="宋体" w:cs="宋体" w:hint="eastAsia"/>
          <w:sz w:val="24"/>
          <w:szCs w:val="24"/>
        </w:rPr>
        <w:t>的拱内临时</w:t>
      </w:r>
      <w:proofErr w:type="gramEnd"/>
      <w:r>
        <w:rPr>
          <w:rFonts w:ascii="宋体" w:eastAsia="宋体" w:hAnsi="宋体" w:cs="宋体" w:hint="eastAsia"/>
          <w:sz w:val="24"/>
          <w:szCs w:val="24"/>
        </w:rPr>
        <w:t>撑杆，形成整体受力结构。</w:t>
      </w:r>
      <w:proofErr w:type="gramStart"/>
      <w:r>
        <w:rPr>
          <w:rFonts w:ascii="宋体" w:eastAsia="宋体" w:hAnsi="宋体" w:cs="宋体" w:hint="eastAsia"/>
          <w:sz w:val="24"/>
          <w:szCs w:val="24"/>
        </w:rPr>
        <w:t>拱内临时</w:t>
      </w:r>
      <w:proofErr w:type="gramEnd"/>
      <w:r>
        <w:rPr>
          <w:rFonts w:ascii="宋体" w:eastAsia="宋体" w:hAnsi="宋体" w:cs="宋体" w:hint="eastAsia"/>
          <w:sz w:val="24"/>
          <w:szCs w:val="24"/>
        </w:rPr>
        <w:t>撑杆的设计应符合下列规定：</w:t>
      </w:r>
    </w:p>
    <w:p w:rsidR="00BA6061" w:rsidRDefault="00610DB9">
      <w:pPr>
        <w:pStyle w:val="ad"/>
        <w:numPr>
          <w:ilvl w:val="3"/>
          <w:numId w:val="12"/>
        </w:numPr>
        <w:spacing w:line="360" w:lineRule="auto"/>
        <w:ind w:firstLine="480"/>
        <w:rPr>
          <w:rFonts w:ascii="宋体" w:eastAsia="宋体" w:hAnsi="宋体" w:cs="宋体"/>
          <w:bCs/>
          <w:sz w:val="24"/>
          <w:szCs w:val="24"/>
        </w:rPr>
      </w:pPr>
      <w:proofErr w:type="gramStart"/>
      <w:r>
        <w:rPr>
          <w:rFonts w:ascii="宋体" w:eastAsia="宋体" w:hAnsi="宋体" w:cs="宋体" w:hint="eastAsia"/>
          <w:bCs/>
          <w:sz w:val="24"/>
          <w:szCs w:val="24"/>
        </w:rPr>
        <w:t>拱内临时</w:t>
      </w:r>
      <w:proofErr w:type="gramEnd"/>
      <w:r>
        <w:rPr>
          <w:rFonts w:ascii="宋体" w:eastAsia="宋体" w:hAnsi="宋体" w:cs="宋体" w:hint="eastAsia"/>
          <w:bCs/>
          <w:sz w:val="24"/>
          <w:szCs w:val="24"/>
        </w:rPr>
        <w:t>撑杆的布置应根据梁拱组合结构的跨径、顶推跨径等因素比选确定，宜采用圆形钢管斜向交叉间隔布设（图8.2.3）。</w:t>
      </w:r>
    </w:p>
    <w:p w:rsidR="00BA6061" w:rsidRDefault="00610DB9">
      <w:pPr>
        <w:pStyle w:val="ad"/>
        <w:numPr>
          <w:ilvl w:val="3"/>
          <w:numId w:val="12"/>
        </w:numPr>
        <w:spacing w:line="360" w:lineRule="auto"/>
        <w:ind w:firstLine="480"/>
        <w:rPr>
          <w:rFonts w:ascii="宋体" w:eastAsia="宋体" w:hAnsi="宋体" w:cs="宋体"/>
          <w:bCs/>
          <w:sz w:val="24"/>
          <w:szCs w:val="24"/>
        </w:rPr>
      </w:pPr>
      <w:proofErr w:type="gramStart"/>
      <w:r>
        <w:rPr>
          <w:rFonts w:ascii="宋体" w:eastAsia="宋体" w:hAnsi="宋体" w:cs="宋体" w:hint="eastAsia"/>
          <w:bCs/>
          <w:sz w:val="24"/>
          <w:szCs w:val="24"/>
        </w:rPr>
        <w:t>拱内临时</w:t>
      </w:r>
      <w:proofErr w:type="gramEnd"/>
      <w:r>
        <w:rPr>
          <w:rFonts w:ascii="宋体" w:eastAsia="宋体" w:hAnsi="宋体" w:cs="宋体" w:hint="eastAsia"/>
          <w:bCs/>
          <w:sz w:val="24"/>
          <w:szCs w:val="24"/>
        </w:rPr>
        <w:t>撑杆应满足强度、刚度及稳定性要求。当</w:t>
      </w:r>
      <w:proofErr w:type="gramStart"/>
      <w:r>
        <w:rPr>
          <w:rFonts w:ascii="宋体" w:eastAsia="宋体" w:hAnsi="宋体" w:cs="宋体" w:hint="eastAsia"/>
          <w:bCs/>
          <w:sz w:val="24"/>
          <w:szCs w:val="24"/>
        </w:rPr>
        <w:t>轴压力</w:t>
      </w:r>
      <w:proofErr w:type="gramEnd"/>
      <w:r>
        <w:rPr>
          <w:rFonts w:ascii="宋体" w:eastAsia="宋体" w:hAnsi="宋体" w:cs="宋体" w:hint="eastAsia"/>
          <w:bCs/>
          <w:sz w:val="24"/>
          <w:szCs w:val="24"/>
        </w:rPr>
        <w:t>较大时，可</w:t>
      </w:r>
      <w:proofErr w:type="gramStart"/>
      <w:r>
        <w:rPr>
          <w:rFonts w:ascii="宋体" w:eastAsia="宋体" w:hAnsi="宋体" w:cs="宋体" w:hint="eastAsia"/>
          <w:bCs/>
          <w:sz w:val="24"/>
          <w:szCs w:val="24"/>
        </w:rPr>
        <w:t>在拱内临时</w:t>
      </w:r>
      <w:proofErr w:type="gramEnd"/>
      <w:r>
        <w:rPr>
          <w:rFonts w:ascii="宋体" w:eastAsia="宋体" w:hAnsi="宋体" w:cs="宋体" w:hint="eastAsia"/>
          <w:bCs/>
          <w:sz w:val="24"/>
          <w:szCs w:val="24"/>
        </w:rPr>
        <w:t>撑杆之间设置连杆以改善稳定性能。</w:t>
      </w:r>
    </w:p>
    <w:p w:rsidR="00BA6061" w:rsidRDefault="00610DB9">
      <w:pPr>
        <w:pStyle w:val="ad"/>
        <w:numPr>
          <w:ilvl w:val="3"/>
          <w:numId w:val="12"/>
        </w:numPr>
        <w:spacing w:line="360" w:lineRule="auto"/>
        <w:ind w:firstLine="480"/>
        <w:rPr>
          <w:rFonts w:ascii="宋体" w:eastAsia="宋体" w:hAnsi="宋体" w:cs="宋体"/>
          <w:bCs/>
          <w:sz w:val="24"/>
          <w:szCs w:val="24"/>
        </w:rPr>
      </w:pPr>
      <w:proofErr w:type="gramStart"/>
      <w:r>
        <w:rPr>
          <w:rFonts w:ascii="宋体" w:eastAsia="宋体" w:hAnsi="宋体" w:cs="宋体" w:hint="eastAsia"/>
          <w:bCs/>
          <w:sz w:val="24"/>
          <w:szCs w:val="24"/>
        </w:rPr>
        <w:t>拱内临时</w:t>
      </w:r>
      <w:proofErr w:type="gramEnd"/>
      <w:r>
        <w:rPr>
          <w:rFonts w:ascii="宋体" w:eastAsia="宋体" w:hAnsi="宋体" w:cs="宋体" w:hint="eastAsia"/>
          <w:bCs/>
          <w:sz w:val="24"/>
          <w:szCs w:val="24"/>
        </w:rPr>
        <w:t>撑杆应与主拱、主梁可靠连接，连接构造应便于拆除，宜采用顺桥向可自由转动的</w:t>
      </w:r>
      <w:proofErr w:type="gramStart"/>
      <w:r>
        <w:rPr>
          <w:rFonts w:ascii="宋体" w:eastAsia="宋体" w:hAnsi="宋体" w:cs="宋体" w:hint="eastAsia"/>
          <w:bCs/>
          <w:sz w:val="24"/>
          <w:szCs w:val="24"/>
        </w:rPr>
        <w:t>销铰式连接</w:t>
      </w:r>
      <w:proofErr w:type="gramEnd"/>
      <w:r>
        <w:rPr>
          <w:rFonts w:ascii="宋体" w:eastAsia="宋体" w:hAnsi="宋体" w:cs="宋体" w:hint="eastAsia"/>
          <w:bCs/>
          <w:sz w:val="24"/>
          <w:szCs w:val="24"/>
        </w:rPr>
        <w:t>。</w:t>
      </w:r>
    </w:p>
    <w:p w:rsidR="00BA6061" w:rsidRDefault="00610DB9">
      <w:pPr>
        <w:pStyle w:val="ad"/>
        <w:numPr>
          <w:ilvl w:val="3"/>
          <w:numId w:val="12"/>
        </w:numPr>
        <w:spacing w:line="360" w:lineRule="auto"/>
        <w:ind w:firstLine="480"/>
      </w:pPr>
      <w:proofErr w:type="gramStart"/>
      <w:r>
        <w:rPr>
          <w:rFonts w:ascii="宋体" w:eastAsia="宋体" w:hAnsi="宋体" w:cs="宋体" w:hint="eastAsia"/>
          <w:bCs/>
          <w:sz w:val="24"/>
          <w:szCs w:val="24"/>
        </w:rPr>
        <w:t>拱内临时</w:t>
      </w:r>
      <w:proofErr w:type="gramEnd"/>
      <w:r>
        <w:rPr>
          <w:rFonts w:ascii="宋体" w:eastAsia="宋体" w:hAnsi="宋体" w:cs="宋体" w:hint="eastAsia"/>
          <w:bCs/>
          <w:sz w:val="24"/>
          <w:szCs w:val="24"/>
        </w:rPr>
        <w:t>撑杆与拱肋、主梁的连接节点应进行局部受力分析计算。</w:t>
      </w:r>
    </w:p>
    <w:p w:rsidR="00BA6061" w:rsidRDefault="00610DB9">
      <w:pPr>
        <w:pStyle w:val="ad"/>
        <w:spacing w:line="360" w:lineRule="auto"/>
        <w:ind w:leftChars="200" w:left="420" w:firstLineChars="0" w:firstLine="0"/>
        <w:jc w:val="center"/>
      </w:pPr>
      <w:r>
        <w:rPr>
          <w:noProof/>
        </w:rPr>
        <w:drawing>
          <wp:inline distT="0" distB="0" distL="114300" distR="114300">
            <wp:extent cx="2879725" cy="1031875"/>
            <wp:effectExtent l="0" t="0" r="635" b="4445"/>
            <wp:docPr id="4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
                    <pic:cNvPicPr>
                      <a:picLocks noChangeAspect="1"/>
                    </pic:cNvPicPr>
                  </pic:nvPicPr>
                  <pic:blipFill>
                    <a:blip r:embed="rId17"/>
                    <a:stretch>
                      <a:fillRect/>
                    </a:stretch>
                  </pic:blipFill>
                  <pic:spPr>
                    <a:xfrm>
                      <a:off x="0" y="0"/>
                      <a:ext cx="2879725" cy="1031875"/>
                    </a:xfrm>
                    <a:prstGeom prst="rect">
                      <a:avLst/>
                    </a:prstGeom>
                    <a:noFill/>
                    <a:ln>
                      <a:noFill/>
                    </a:ln>
                  </pic:spPr>
                </pic:pic>
              </a:graphicData>
            </a:graphic>
          </wp:inline>
        </w:drawing>
      </w:r>
    </w:p>
    <w:p w:rsidR="00BA6061" w:rsidRDefault="00610DB9">
      <w:pPr>
        <w:ind w:firstLine="360"/>
        <w:jc w:val="center"/>
        <w:rPr>
          <w:rStyle w:val="ae"/>
          <w:rFonts w:ascii="黑体" w:hAnsi="黑体"/>
          <w:kern w:val="0"/>
          <w:szCs w:val="21"/>
        </w:rPr>
      </w:pPr>
      <w:r>
        <w:rPr>
          <w:rStyle w:val="ae"/>
          <w:rFonts w:ascii="黑体" w:hAnsi="黑体" w:hint="eastAsia"/>
          <w:kern w:val="0"/>
          <w:szCs w:val="21"/>
        </w:rPr>
        <w:t>图8.2.3  圆形钢管斜向交叉间隔布设示意图</w:t>
      </w:r>
    </w:p>
    <w:p w:rsidR="00BA6061" w:rsidRDefault="00610DB9">
      <w:pPr>
        <w:ind w:firstLine="360"/>
        <w:jc w:val="center"/>
        <w:rPr>
          <w:rStyle w:val="ae"/>
          <w:rFonts w:ascii="黑体" w:hAnsi="黑体"/>
          <w:kern w:val="0"/>
          <w:szCs w:val="21"/>
        </w:rPr>
      </w:pPr>
      <w:r>
        <w:rPr>
          <w:rStyle w:val="ae"/>
          <w:rFonts w:ascii="黑体" w:hAnsi="黑体" w:hint="eastAsia"/>
          <w:kern w:val="0"/>
          <w:szCs w:val="21"/>
        </w:rPr>
        <w:t>1——临时撑杆；2——连杆；3——主拱；4——主梁。</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 xml:space="preserve">条文说明： </w:t>
      </w:r>
      <w:proofErr w:type="gramStart"/>
      <w:r>
        <w:rPr>
          <w:rFonts w:ascii="宋体" w:eastAsia="宋体" w:hAnsi="宋体" w:cs="宋体" w:hint="eastAsia"/>
          <w:i/>
          <w:color w:val="00B050"/>
          <w:sz w:val="24"/>
          <w:szCs w:val="24"/>
        </w:rPr>
        <w:t>在主拱和</w:t>
      </w:r>
      <w:proofErr w:type="gramEnd"/>
      <w:r>
        <w:rPr>
          <w:rFonts w:ascii="宋体" w:eastAsia="宋体" w:hAnsi="宋体" w:cs="宋体" w:hint="eastAsia"/>
          <w:i/>
          <w:color w:val="00B050"/>
          <w:sz w:val="24"/>
          <w:szCs w:val="24"/>
        </w:rPr>
        <w:t>主梁之间</w:t>
      </w:r>
      <w:proofErr w:type="gramStart"/>
      <w:r>
        <w:rPr>
          <w:rFonts w:ascii="宋体" w:eastAsia="宋体" w:hAnsi="宋体" w:cs="宋体" w:hint="eastAsia"/>
          <w:i/>
          <w:color w:val="00B050"/>
          <w:sz w:val="24"/>
          <w:szCs w:val="24"/>
        </w:rPr>
        <w:t>设置拱内临时</w:t>
      </w:r>
      <w:proofErr w:type="gramEnd"/>
      <w:r>
        <w:rPr>
          <w:rFonts w:ascii="宋体" w:eastAsia="宋体" w:hAnsi="宋体" w:cs="宋体" w:hint="eastAsia"/>
          <w:i/>
          <w:color w:val="00B050"/>
          <w:sz w:val="24"/>
          <w:szCs w:val="24"/>
        </w:rPr>
        <w:t>撑杆改变了顶推施工过程中力的传递途径和传递方式，可显著改善梁拱组合结构在顶推过程中的受力性能。</w:t>
      </w:r>
      <w:proofErr w:type="gramStart"/>
      <w:r>
        <w:rPr>
          <w:rFonts w:ascii="宋体" w:eastAsia="宋体" w:hAnsi="宋体" w:cs="宋体" w:hint="eastAsia"/>
          <w:i/>
          <w:color w:val="00B050"/>
          <w:sz w:val="24"/>
          <w:szCs w:val="24"/>
        </w:rPr>
        <w:t>拱内临时</w:t>
      </w:r>
      <w:proofErr w:type="gramEnd"/>
      <w:r>
        <w:rPr>
          <w:rFonts w:ascii="宋体" w:eastAsia="宋体" w:hAnsi="宋体" w:cs="宋体" w:hint="eastAsia"/>
          <w:i/>
          <w:color w:val="00B050"/>
          <w:sz w:val="24"/>
          <w:szCs w:val="24"/>
        </w:rPr>
        <w:t>撑杆的布置方式对主梁、</w:t>
      </w:r>
      <w:proofErr w:type="gramStart"/>
      <w:r>
        <w:rPr>
          <w:rFonts w:ascii="宋体" w:eastAsia="宋体" w:hAnsi="宋体" w:cs="宋体" w:hint="eastAsia"/>
          <w:i/>
          <w:color w:val="00B050"/>
          <w:sz w:val="24"/>
          <w:szCs w:val="24"/>
        </w:rPr>
        <w:t>主拱的</w:t>
      </w:r>
      <w:proofErr w:type="gramEnd"/>
      <w:r>
        <w:rPr>
          <w:rFonts w:ascii="宋体" w:eastAsia="宋体" w:hAnsi="宋体" w:cs="宋体" w:hint="eastAsia"/>
          <w:i/>
          <w:color w:val="00B050"/>
          <w:sz w:val="24"/>
          <w:szCs w:val="24"/>
        </w:rPr>
        <w:t>受力影响很大。选择合适的临时撑杆布置形式，可以在主梁、</w:t>
      </w:r>
      <w:proofErr w:type="gramStart"/>
      <w:r>
        <w:rPr>
          <w:rFonts w:ascii="宋体" w:eastAsia="宋体" w:hAnsi="宋体" w:cs="宋体" w:hint="eastAsia"/>
          <w:i/>
          <w:color w:val="00B050"/>
          <w:sz w:val="24"/>
          <w:szCs w:val="24"/>
        </w:rPr>
        <w:t>主拱受力</w:t>
      </w:r>
      <w:proofErr w:type="gramEnd"/>
      <w:r>
        <w:rPr>
          <w:rFonts w:ascii="宋体" w:eastAsia="宋体" w:hAnsi="宋体" w:cs="宋体" w:hint="eastAsia"/>
          <w:i/>
          <w:color w:val="00B050"/>
          <w:sz w:val="24"/>
          <w:szCs w:val="24"/>
        </w:rPr>
        <w:t>合理的情况下更大程度地节省桥梁主体结构和临时结构材料用量。因此，建议</w:t>
      </w:r>
      <w:proofErr w:type="gramStart"/>
      <w:r>
        <w:rPr>
          <w:rFonts w:ascii="宋体" w:eastAsia="宋体" w:hAnsi="宋体" w:cs="宋体" w:hint="eastAsia"/>
          <w:i/>
          <w:color w:val="00B050"/>
          <w:sz w:val="24"/>
          <w:szCs w:val="24"/>
        </w:rPr>
        <w:t>对拱内临时</w:t>
      </w:r>
      <w:proofErr w:type="gramEnd"/>
      <w:r>
        <w:rPr>
          <w:rFonts w:ascii="宋体" w:eastAsia="宋体" w:hAnsi="宋体" w:cs="宋体" w:hint="eastAsia"/>
          <w:i/>
          <w:color w:val="00B050"/>
          <w:sz w:val="24"/>
          <w:szCs w:val="24"/>
        </w:rPr>
        <w:t>撑杆布置方式进行计算比选，选择较优方案。当</w:t>
      </w:r>
      <w:proofErr w:type="gramStart"/>
      <w:r>
        <w:rPr>
          <w:rFonts w:ascii="宋体" w:eastAsia="宋体" w:hAnsi="宋体" w:cs="宋体" w:hint="eastAsia"/>
          <w:i/>
          <w:color w:val="00B050"/>
          <w:sz w:val="24"/>
          <w:szCs w:val="24"/>
        </w:rPr>
        <w:t>采用格构式</w:t>
      </w:r>
      <w:proofErr w:type="gramEnd"/>
      <w:r>
        <w:rPr>
          <w:rFonts w:ascii="宋体" w:eastAsia="宋体" w:hAnsi="宋体" w:cs="宋体" w:hint="eastAsia"/>
          <w:i/>
          <w:color w:val="00B050"/>
          <w:sz w:val="24"/>
          <w:szCs w:val="24"/>
        </w:rPr>
        <w:t>布设时（图*），布设方案宜与钢拱肋节段拼装支架一并考虑。</w:t>
      </w:r>
    </w:p>
    <w:p w:rsidR="00BA6061" w:rsidRDefault="00610DB9">
      <w:pPr>
        <w:pStyle w:val="ad"/>
        <w:widowControl/>
        <w:numPr>
          <w:ilvl w:val="255"/>
          <w:numId w:val="0"/>
        </w:numPr>
        <w:jc w:val="center"/>
      </w:pPr>
      <w:r>
        <w:rPr>
          <w:noProof/>
        </w:rPr>
        <w:drawing>
          <wp:inline distT="0" distB="0" distL="114300" distR="114300">
            <wp:extent cx="3599815" cy="1129030"/>
            <wp:effectExtent l="0" t="0" r="12065" b="13970"/>
            <wp:docPr id="4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6"/>
                    <pic:cNvPicPr>
                      <a:picLocks noChangeAspect="1"/>
                    </pic:cNvPicPr>
                  </pic:nvPicPr>
                  <pic:blipFill>
                    <a:blip r:embed="rId18"/>
                    <a:stretch>
                      <a:fillRect/>
                    </a:stretch>
                  </pic:blipFill>
                  <pic:spPr>
                    <a:xfrm>
                      <a:off x="0" y="0"/>
                      <a:ext cx="3599815" cy="1129030"/>
                    </a:xfrm>
                    <a:prstGeom prst="rect">
                      <a:avLst/>
                    </a:prstGeom>
                    <a:noFill/>
                    <a:ln>
                      <a:noFill/>
                    </a:ln>
                  </pic:spPr>
                </pic:pic>
              </a:graphicData>
            </a:graphic>
          </wp:inline>
        </w:drawing>
      </w:r>
    </w:p>
    <w:p w:rsidR="00BA6061" w:rsidRDefault="00610DB9">
      <w:pPr>
        <w:pStyle w:val="ad"/>
        <w:numPr>
          <w:ilvl w:val="255"/>
          <w:numId w:val="0"/>
        </w:numPr>
        <w:jc w:val="center"/>
        <w:rPr>
          <w:rStyle w:val="ae"/>
          <w:rFonts w:ascii="宋体" w:eastAsia="宋体" w:hAnsi="宋体" w:cs="宋体"/>
          <w:i/>
          <w:iCs/>
          <w:color w:val="00B050"/>
          <w:kern w:val="0"/>
          <w:sz w:val="21"/>
          <w:szCs w:val="21"/>
        </w:rPr>
      </w:pPr>
      <w:r>
        <w:rPr>
          <w:rStyle w:val="ae"/>
          <w:rFonts w:ascii="宋体" w:eastAsia="宋体" w:hAnsi="宋体" w:cs="宋体" w:hint="eastAsia"/>
          <w:i/>
          <w:iCs/>
          <w:color w:val="00B050"/>
          <w:kern w:val="0"/>
          <w:sz w:val="21"/>
          <w:szCs w:val="21"/>
        </w:rPr>
        <w:t xml:space="preserve">图*  </w:t>
      </w:r>
      <w:proofErr w:type="gramStart"/>
      <w:r>
        <w:rPr>
          <w:rStyle w:val="ae"/>
          <w:rFonts w:ascii="宋体" w:eastAsia="宋体" w:hAnsi="宋体" w:cs="宋体" w:hint="eastAsia"/>
          <w:i/>
          <w:iCs/>
          <w:color w:val="00B050"/>
          <w:kern w:val="0"/>
          <w:sz w:val="21"/>
          <w:szCs w:val="21"/>
        </w:rPr>
        <w:t>格构式</w:t>
      </w:r>
      <w:proofErr w:type="gramEnd"/>
      <w:r>
        <w:rPr>
          <w:rStyle w:val="ae"/>
          <w:rFonts w:ascii="宋体" w:eastAsia="宋体" w:hAnsi="宋体" w:cs="宋体" w:hint="eastAsia"/>
          <w:i/>
          <w:iCs/>
          <w:color w:val="00B050"/>
          <w:kern w:val="0"/>
          <w:sz w:val="21"/>
          <w:szCs w:val="21"/>
        </w:rPr>
        <w:t>临时撑杆竖向满布</w:t>
      </w:r>
    </w:p>
    <w:p w:rsidR="00BA6061" w:rsidRDefault="00610DB9">
      <w:pPr>
        <w:pStyle w:val="ad"/>
        <w:widowControl/>
        <w:numPr>
          <w:ilvl w:val="255"/>
          <w:numId w:val="0"/>
        </w:numPr>
        <w:ind w:firstLineChars="200" w:firstLine="420"/>
        <w:jc w:val="center"/>
        <w:rPr>
          <w:i/>
          <w:iCs/>
          <w:color w:val="00B050"/>
          <w:szCs w:val="24"/>
        </w:rPr>
      </w:pPr>
      <w:r>
        <w:rPr>
          <w:rStyle w:val="ae"/>
          <w:rFonts w:ascii="宋体" w:eastAsia="宋体" w:hAnsi="宋体" w:cs="宋体" w:hint="eastAsia"/>
          <w:i/>
          <w:iCs/>
          <w:color w:val="00B050"/>
          <w:kern w:val="0"/>
          <w:sz w:val="21"/>
          <w:szCs w:val="21"/>
        </w:rPr>
        <w:t>1——临时撑杆；2——主拱；3——主梁。</w:t>
      </w:r>
    </w:p>
    <w:p w:rsidR="00BA6061" w:rsidRDefault="00610DB9">
      <w:pPr>
        <w:pStyle w:val="ad"/>
        <w:spacing w:line="360" w:lineRule="auto"/>
        <w:ind w:firstLine="480"/>
        <w:jc w:val="left"/>
        <w:rPr>
          <w:rFonts w:ascii="宋体" w:eastAsia="宋体" w:hAnsi="宋体" w:cs="宋体"/>
          <w:i/>
          <w:color w:val="00B050"/>
          <w:sz w:val="24"/>
          <w:szCs w:val="24"/>
        </w:rPr>
      </w:pPr>
      <w:proofErr w:type="gramStart"/>
      <w:r>
        <w:rPr>
          <w:rFonts w:ascii="宋体" w:eastAsia="宋体" w:hAnsi="宋体" w:cs="宋体" w:hint="eastAsia"/>
          <w:i/>
          <w:color w:val="00B050"/>
          <w:sz w:val="24"/>
          <w:szCs w:val="24"/>
        </w:rPr>
        <w:t>拱内临时</w:t>
      </w:r>
      <w:proofErr w:type="gramEnd"/>
      <w:r>
        <w:rPr>
          <w:rFonts w:ascii="宋体" w:eastAsia="宋体" w:hAnsi="宋体" w:cs="宋体" w:hint="eastAsia"/>
          <w:i/>
          <w:color w:val="00B050"/>
          <w:sz w:val="24"/>
          <w:szCs w:val="24"/>
        </w:rPr>
        <w:t>撑杆对顶推过程的安全起着至关重要的作用，设计时除了保证临时撑杆本身的强度、刚度和稳定性能外，还必须保证其与主梁、</w:t>
      </w:r>
      <w:proofErr w:type="gramStart"/>
      <w:r>
        <w:rPr>
          <w:rFonts w:ascii="宋体" w:eastAsia="宋体" w:hAnsi="宋体" w:cs="宋体" w:hint="eastAsia"/>
          <w:i/>
          <w:color w:val="00B050"/>
          <w:sz w:val="24"/>
          <w:szCs w:val="24"/>
        </w:rPr>
        <w:t>主拱连接</w:t>
      </w:r>
      <w:proofErr w:type="gramEnd"/>
      <w:r>
        <w:rPr>
          <w:rFonts w:ascii="宋体" w:eastAsia="宋体" w:hAnsi="宋体" w:cs="宋体" w:hint="eastAsia"/>
          <w:i/>
          <w:color w:val="00B050"/>
          <w:sz w:val="24"/>
          <w:szCs w:val="24"/>
        </w:rPr>
        <w:t>节点的可靠安全。从可靠性角度考虑，临时撑杆与主体结构可以采用固结的形式，但这样会使节点构造十分复杂，且顶推施工结束后的拆除工作也极为不便。为了方便顶推结束后的拆除工作，</w:t>
      </w:r>
      <w:proofErr w:type="gramStart"/>
      <w:r>
        <w:rPr>
          <w:rFonts w:ascii="宋体" w:eastAsia="宋体" w:hAnsi="宋体" w:cs="宋体" w:hint="eastAsia"/>
          <w:i/>
          <w:color w:val="00B050"/>
          <w:sz w:val="24"/>
          <w:szCs w:val="24"/>
        </w:rPr>
        <w:t>建议拱内临时</w:t>
      </w:r>
      <w:proofErr w:type="gramEnd"/>
      <w:r>
        <w:rPr>
          <w:rFonts w:ascii="宋体" w:eastAsia="宋体" w:hAnsi="宋体" w:cs="宋体" w:hint="eastAsia"/>
          <w:i/>
          <w:color w:val="00B050"/>
          <w:sz w:val="24"/>
          <w:szCs w:val="24"/>
        </w:rPr>
        <w:t>撑杆与主拱、主梁之间采用</w:t>
      </w:r>
      <w:proofErr w:type="gramStart"/>
      <w:r>
        <w:rPr>
          <w:rFonts w:ascii="宋体" w:eastAsia="宋体" w:hAnsi="宋体" w:cs="宋体" w:hint="eastAsia"/>
          <w:i/>
          <w:color w:val="00B050"/>
          <w:sz w:val="24"/>
          <w:szCs w:val="24"/>
        </w:rPr>
        <w:t>销铰式连接</w:t>
      </w:r>
      <w:proofErr w:type="gramEnd"/>
      <w:r>
        <w:rPr>
          <w:rFonts w:ascii="宋体" w:eastAsia="宋体" w:hAnsi="宋体" w:cs="宋体" w:hint="eastAsia"/>
          <w:i/>
          <w:color w:val="00B050"/>
          <w:sz w:val="24"/>
          <w:szCs w:val="24"/>
        </w:rPr>
        <w:t>构造，即在主梁、主拱上设置耳板，临时撑杆通过</w:t>
      </w:r>
      <w:proofErr w:type="gramStart"/>
      <w:r>
        <w:rPr>
          <w:rFonts w:ascii="宋体" w:eastAsia="宋体" w:hAnsi="宋体" w:cs="宋体" w:hint="eastAsia"/>
          <w:i/>
          <w:color w:val="00B050"/>
          <w:sz w:val="24"/>
          <w:szCs w:val="24"/>
        </w:rPr>
        <w:t>穿过耳板的</w:t>
      </w:r>
      <w:proofErr w:type="gramEnd"/>
      <w:r>
        <w:rPr>
          <w:rFonts w:ascii="宋体" w:eastAsia="宋体" w:hAnsi="宋体" w:cs="宋体" w:hint="eastAsia"/>
          <w:i/>
          <w:color w:val="00B050"/>
          <w:sz w:val="24"/>
          <w:szCs w:val="24"/>
        </w:rPr>
        <w:t>销轴与主梁、</w:t>
      </w:r>
      <w:proofErr w:type="gramStart"/>
      <w:r>
        <w:rPr>
          <w:rFonts w:ascii="宋体" w:eastAsia="宋体" w:hAnsi="宋体" w:cs="宋体" w:hint="eastAsia"/>
          <w:i/>
          <w:color w:val="00B050"/>
          <w:sz w:val="24"/>
          <w:szCs w:val="24"/>
        </w:rPr>
        <w:t>主拱进行</w:t>
      </w:r>
      <w:proofErr w:type="gramEnd"/>
      <w:r>
        <w:rPr>
          <w:rFonts w:ascii="宋体" w:eastAsia="宋体" w:hAnsi="宋体" w:cs="宋体" w:hint="eastAsia"/>
          <w:i/>
          <w:color w:val="00B050"/>
          <w:sz w:val="24"/>
          <w:szCs w:val="24"/>
        </w:rPr>
        <w:t>连接，顶推结束后，拆除临时撑杆，并将主梁、主拱上的</w:t>
      </w:r>
      <w:proofErr w:type="gramStart"/>
      <w:r>
        <w:rPr>
          <w:rFonts w:ascii="宋体" w:eastAsia="宋体" w:hAnsi="宋体" w:cs="宋体" w:hint="eastAsia"/>
          <w:i/>
          <w:color w:val="00B050"/>
          <w:sz w:val="24"/>
          <w:szCs w:val="24"/>
        </w:rPr>
        <w:t>耳板予以</w:t>
      </w:r>
      <w:proofErr w:type="gramEnd"/>
      <w:r>
        <w:rPr>
          <w:rFonts w:ascii="宋体" w:eastAsia="宋体" w:hAnsi="宋体" w:cs="宋体" w:hint="eastAsia"/>
          <w:i/>
          <w:color w:val="00B050"/>
          <w:sz w:val="24"/>
          <w:szCs w:val="24"/>
        </w:rPr>
        <w:t>割除。由于梁拱组合结构在顶推过程中可能受到横向风的作用，从避免临时撑杆节点在风载作用下产生横向弯矩的角度来看，连接节点以销轴可横桥向自由转动为宜；但是，梁拱组合结构在恒载作用下以纵向受力为主，且纵向变形随着顶推进程不断改变，采用顺桥向可以自由转动的</w:t>
      </w:r>
      <w:proofErr w:type="gramStart"/>
      <w:r>
        <w:rPr>
          <w:rFonts w:ascii="宋体" w:eastAsia="宋体" w:hAnsi="宋体" w:cs="宋体" w:hint="eastAsia"/>
          <w:i/>
          <w:color w:val="00B050"/>
          <w:sz w:val="24"/>
          <w:szCs w:val="24"/>
        </w:rPr>
        <w:t>销铰式连接</w:t>
      </w:r>
      <w:proofErr w:type="gramEnd"/>
      <w:r>
        <w:rPr>
          <w:rFonts w:ascii="宋体" w:eastAsia="宋体" w:hAnsi="宋体" w:cs="宋体" w:hint="eastAsia"/>
          <w:i/>
          <w:color w:val="00B050"/>
          <w:sz w:val="24"/>
          <w:szCs w:val="24"/>
        </w:rPr>
        <w:t>构造，能够减少顶推过程中梁拱组合结构纵向变形引起的附加弯矩。考虑到恒载是顶推过程中无法回避、一直存在的，而风荷载可以通过施工控制进行规避，或者通过辅助控制措施减小其影响。因此，</w:t>
      </w:r>
      <w:proofErr w:type="gramStart"/>
      <w:r>
        <w:rPr>
          <w:rFonts w:ascii="宋体" w:eastAsia="宋体" w:hAnsi="宋体" w:cs="宋体" w:hint="eastAsia"/>
          <w:i/>
          <w:color w:val="00B050"/>
          <w:sz w:val="24"/>
          <w:szCs w:val="24"/>
        </w:rPr>
        <w:t>拱内临时</w:t>
      </w:r>
      <w:proofErr w:type="gramEnd"/>
      <w:r>
        <w:rPr>
          <w:rFonts w:ascii="宋体" w:eastAsia="宋体" w:hAnsi="宋体" w:cs="宋体" w:hint="eastAsia"/>
          <w:i/>
          <w:color w:val="00B050"/>
          <w:sz w:val="24"/>
          <w:szCs w:val="24"/>
        </w:rPr>
        <w:t>撑杆与主梁、</w:t>
      </w:r>
      <w:proofErr w:type="gramStart"/>
      <w:r>
        <w:rPr>
          <w:rFonts w:ascii="宋体" w:eastAsia="宋体" w:hAnsi="宋体" w:cs="宋体" w:hint="eastAsia"/>
          <w:i/>
          <w:color w:val="00B050"/>
          <w:sz w:val="24"/>
          <w:szCs w:val="24"/>
        </w:rPr>
        <w:t>主拱之间</w:t>
      </w:r>
      <w:proofErr w:type="gramEnd"/>
      <w:r>
        <w:rPr>
          <w:rFonts w:ascii="宋体" w:eastAsia="宋体" w:hAnsi="宋体" w:cs="宋体" w:hint="eastAsia"/>
          <w:i/>
          <w:color w:val="00B050"/>
          <w:sz w:val="24"/>
          <w:szCs w:val="24"/>
        </w:rPr>
        <w:t>宜采用顺桥向可自由转动的</w:t>
      </w:r>
      <w:proofErr w:type="gramStart"/>
      <w:r>
        <w:rPr>
          <w:rFonts w:ascii="宋体" w:eastAsia="宋体" w:hAnsi="宋体" w:cs="宋体" w:hint="eastAsia"/>
          <w:i/>
          <w:color w:val="00B050"/>
          <w:sz w:val="24"/>
          <w:szCs w:val="24"/>
        </w:rPr>
        <w:t>销铰式连接</w:t>
      </w:r>
      <w:proofErr w:type="gramEnd"/>
      <w:r>
        <w:rPr>
          <w:rFonts w:ascii="宋体" w:eastAsia="宋体" w:hAnsi="宋体" w:cs="宋体" w:hint="eastAsia"/>
          <w:i/>
          <w:color w:val="00B050"/>
          <w:sz w:val="24"/>
          <w:szCs w:val="24"/>
        </w:rPr>
        <w:t>构造。</w:t>
      </w:r>
    </w:p>
    <w:p w:rsidR="00BA6061" w:rsidRDefault="00BA6061">
      <w:pPr>
        <w:ind w:firstLine="360"/>
        <w:jc w:val="center"/>
        <w:rPr>
          <w:rStyle w:val="ae"/>
          <w:rFonts w:ascii="黑体" w:hAnsi="黑体"/>
          <w:kern w:val="0"/>
          <w:szCs w:val="21"/>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当顶推钢梁为开口槽型断面时，顶推施工前应设置防失稳的临时措施。</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 钢-混组合梁在顶推过程中，钢梁部分一般为开口槽型断面（图*）。由于开口断面的抗扭性能相对较差，为防止顶推过程中，梁体出现扭转变形，需要在开口区域布置横撑和斜向撑杆（图*），提升箱体的稳定性。</w:t>
      </w:r>
    </w:p>
    <w:p w:rsidR="00BA6061" w:rsidRDefault="00610DB9">
      <w:pPr>
        <w:pStyle w:val="ad"/>
        <w:widowControl/>
        <w:numPr>
          <w:ilvl w:val="255"/>
          <w:numId w:val="0"/>
        </w:numPr>
        <w:jc w:val="center"/>
      </w:pPr>
      <w:r>
        <w:rPr>
          <w:noProof/>
        </w:rPr>
        <w:drawing>
          <wp:inline distT="0" distB="0" distL="0" distR="0">
            <wp:extent cx="2235200" cy="1195070"/>
            <wp:effectExtent l="0" t="0" r="5080" b="889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35600" cy="1195200"/>
                    </a:xfrm>
                    <a:prstGeom prst="rect">
                      <a:avLst/>
                    </a:prstGeom>
                  </pic:spPr>
                </pic:pic>
              </a:graphicData>
            </a:graphic>
          </wp:inline>
        </w:drawing>
      </w:r>
      <w:r>
        <w:rPr>
          <w:noProof/>
        </w:rPr>
        <w:drawing>
          <wp:inline distT="0" distB="0" distL="0" distR="0">
            <wp:extent cx="2231390" cy="1195070"/>
            <wp:effectExtent l="0" t="0" r="8890" b="889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32000" cy="1195200"/>
                    </a:xfrm>
                    <a:prstGeom prst="rect">
                      <a:avLst/>
                    </a:prstGeom>
                  </pic:spPr>
                </pic:pic>
              </a:graphicData>
            </a:graphic>
          </wp:inline>
        </w:drawing>
      </w:r>
    </w:p>
    <w:p w:rsidR="00BA6061" w:rsidRDefault="00610DB9">
      <w:pPr>
        <w:pStyle w:val="ad"/>
        <w:widowControl/>
        <w:numPr>
          <w:ilvl w:val="255"/>
          <w:numId w:val="0"/>
        </w:numPr>
        <w:adjustRightInd w:val="0"/>
        <w:spacing w:line="288" w:lineRule="auto"/>
        <w:jc w:val="center"/>
        <w:textAlignment w:val="baseline"/>
        <w:rPr>
          <w:rStyle w:val="ae"/>
          <w:rFonts w:ascii="宋体" w:eastAsia="宋体" w:hAnsi="宋体" w:cs="宋体"/>
          <w:kern w:val="0"/>
          <w:sz w:val="21"/>
          <w:szCs w:val="21"/>
        </w:rPr>
      </w:pPr>
      <w:r>
        <w:rPr>
          <w:rStyle w:val="ae"/>
          <w:rFonts w:ascii="宋体" w:eastAsia="宋体" w:hAnsi="宋体" w:cs="宋体" w:hint="eastAsia"/>
          <w:i/>
          <w:iCs/>
          <w:color w:val="00B050"/>
          <w:kern w:val="0"/>
          <w:sz w:val="21"/>
          <w:szCs w:val="21"/>
        </w:rPr>
        <w:t>图*  槽型梁原始断面         图*  槽型梁强化断面</w:t>
      </w:r>
    </w:p>
    <w:p w:rsidR="00BA6061" w:rsidRDefault="00610DB9">
      <w:pPr>
        <w:pStyle w:val="2"/>
        <w:keepNext w:val="0"/>
        <w:keepLines w:val="0"/>
        <w:numPr>
          <w:ilvl w:val="1"/>
          <w:numId w:val="1"/>
        </w:numPr>
        <w:spacing w:before="312" w:after="312" w:line="360" w:lineRule="auto"/>
        <w:ind w:left="0" w:firstLine="560"/>
        <w:jc w:val="center"/>
        <w:rPr>
          <w:rFonts w:ascii="黑体" w:hAnsi="黑体" w:cs="黑体"/>
          <w:b w:val="0"/>
          <w:kern w:val="44"/>
          <w:sz w:val="28"/>
          <w:szCs w:val="28"/>
        </w:rPr>
      </w:pPr>
      <w:bookmarkStart w:id="73" w:name="_Toc223533698"/>
      <w:bookmarkStart w:id="74" w:name="_Toc224026617"/>
      <w:r>
        <w:rPr>
          <w:rFonts w:ascii="黑体" w:hAnsi="黑体" w:cs="黑体" w:hint="eastAsia"/>
          <w:b w:val="0"/>
          <w:kern w:val="44"/>
          <w:sz w:val="28"/>
          <w:szCs w:val="28"/>
        </w:rPr>
        <w:t>机具设备要求</w:t>
      </w:r>
      <w:bookmarkEnd w:id="73"/>
      <w:bookmarkEnd w:id="74"/>
    </w:p>
    <w:p w:rsidR="00BA6061" w:rsidRDefault="00BA6061">
      <w:pPr>
        <w:pStyle w:val="ad"/>
        <w:numPr>
          <w:ilvl w:val="1"/>
          <w:numId w:val="3"/>
        </w:numPr>
        <w:spacing w:line="360" w:lineRule="auto"/>
        <w:ind w:firstLineChars="0"/>
        <w:jc w:val="left"/>
        <w:rPr>
          <w:rFonts w:ascii="宋体" w:eastAsia="宋体" w:hAnsi="宋体" w:cs="宋体"/>
          <w:vanish/>
          <w:sz w:val="24"/>
          <w:szCs w:val="24"/>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顶推设备应根据结构特点、顶推工法和现场条件选用，符合安全可靠、经济合理的要求。</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顶推设备与梁体接触面强度应满足设计要求，确保钢梁受力不发生应力集中而失稳。</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顶推设备安装位置应设置在梁体底腹板夹角处、纵向隔板加劲等刚度较大部位。</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步履式顶推的速度不宜大于10m/h。</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顶推施工应采用机电液协同同步控制技术，顶推设备的</w:t>
      </w:r>
      <w:proofErr w:type="gramStart"/>
      <w:r>
        <w:rPr>
          <w:rFonts w:ascii="宋体" w:eastAsia="宋体" w:hAnsi="宋体" w:cs="宋体" w:hint="eastAsia"/>
          <w:sz w:val="24"/>
          <w:szCs w:val="24"/>
        </w:rPr>
        <w:t>液压油缸应具备</w:t>
      </w:r>
      <w:proofErr w:type="gramEnd"/>
      <w:r>
        <w:rPr>
          <w:rFonts w:ascii="宋体" w:eastAsia="宋体" w:hAnsi="宋体" w:cs="宋体" w:hint="eastAsia"/>
          <w:sz w:val="24"/>
          <w:szCs w:val="24"/>
        </w:rPr>
        <w:t>负载保持功能。</w:t>
      </w:r>
    </w:p>
    <w:p w:rsidR="00BA6061" w:rsidRDefault="00610DB9">
      <w:pPr>
        <w:pStyle w:val="ad"/>
        <w:spacing w:line="360" w:lineRule="auto"/>
        <w:ind w:firstLine="480"/>
        <w:jc w:val="left"/>
        <w:rPr>
          <w:rFonts w:ascii="宋体" w:eastAsia="宋体" w:hAnsi="宋体" w:cs="宋体"/>
          <w:sz w:val="24"/>
          <w:szCs w:val="24"/>
        </w:rPr>
      </w:pPr>
      <w:r>
        <w:rPr>
          <w:rFonts w:ascii="宋体" w:eastAsia="宋体" w:hAnsi="宋体" w:cs="宋体" w:hint="eastAsia"/>
          <w:i/>
          <w:color w:val="00B050"/>
          <w:sz w:val="24"/>
          <w:szCs w:val="24"/>
        </w:rPr>
        <w:t>条文说明： 保压装置采用平衡阀、液压锁或机械锁，可避免设备异常停机或爆管等故障导致的设备突降或水平移位。</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w:t>
      </w:r>
      <w:proofErr w:type="gramStart"/>
      <w:r>
        <w:rPr>
          <w:rFonts w:ascii="宋体" w:eastAsia="宋体" w:hAnsi="宋体" w:cs="宋体" w:hint="eastAsia"/>
          <w:sz w:val="24"/>
          <w:szCs w:val="24"/>
        </w:rPr>
        <w:t>桥梁宜沿上坡</w:t>
      </w:r>
      <w:proofErr w:type="gramEnd"/>
      <w:r>
        <w:rPr>
          <w:rFonts w:ascii="宋体" w:eastAsia="宋体" w:hAnsi="宋体" w:cs="宋体" w:hint="eastAsia"/>
          <w:sz w:val="24"/>
          <w:szCs w:val="24"/>
        </w:rPr>
        <w:t>方向进行顶推，当顶推纵坡大于3.5%时，应设置反向制动装置。</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步履式顶推设备应由步履机、液压泵站和控制系统组成。步履式顶推设备规格型号应包含</w:t>
      </w:r>
      <w:proofErr w:type="gramStart"/>
      <w:r>
        <w:rPr>
          <w:rFonts w:ascii="宋体" w:eastAsia="宋体" w:hAnsi="宋体" w:cs="宋体" w:hint="eastAsia"/>
          <w:sz w:val="24"/>
          <w:szCs w:val="24"/>
        </w:rPr>
        <w:t>步履机</w:t>
      </w:r>
      <w:proofErr w:type="gramEnd"/>
      <w:r>
        <w:rPr>
          <w:rFonts w:ascii="宋体" w:eastAsia="宋体" w:hAnsi="宋体" w:cs="宋体" w:hint="eastAsia"/>
          <w:sz w:val="24"/>
          <w:szCs w:val="24"/>
        </w:rPr>
        <w:t>的额定竖向顶升力指标。</w:t>
      </w:r>
    </w:p>
    <w:p w:rsidR="00BA6061" w:rsidRDefault="00610DB9">
      <w:pPr>
        <w:ind w:firstLine="420"/>
        <w:jc w:val="center"/>
      </w:pPr>
      <w:r>
        <w:rPr>
          <w:noProof/>
        </w:rPr>
        <w:drawing>
          <wp:inline distT="0" distB="0" distL="114300" distR="114300">
            <wp:extent cx="3385820" cy="2879725"/>
            <wp:effectExtent l="0" t="0" r="12700" b="635"/>
            <wp:docPr id="4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3"/>
                    <pic:cNvPicPr>
                      <a:picLocks noChangeAspect="1"/>
                    </pic:cNvPicPr>
                  </pic:nvPicPr>
                  <pic:blipFill>
                    <a:blip r:embed="rId21"/>
                    <a:srcRect t="2235" b="3298"/>
                    <a:stretch>
                      <a:fillRect/>
                    </a:stretch>
                  </pic:blipFill>
                  <pic:spPr>
                    <a:xfrm>
                      <a:off x="0" y="0"/>
                      <a:ext cx="3386102" cy="2880000"/>
                    </a:xfrm>
                    <a:prstGeom prst="rect">
                      <a:avLst/>
                    </a:prstGeom>
                    <a:noFill/>
                    <a:ln>
                      <a:noFill/>
                    </a:ln>
                  </pic:spPr>
                </pic:pic>
              </a:graphicData>
            </a:graphic>
          </wp:inline>
        </w:drawing>
      </w:r>
    </w:p>
    <w:p w:rsidR="00BA6061" w:rsidRDefault="00610DB9">
      <w:pPr>
        <w:ind w:firstLine="360"/>
        <w:jc w:val="center"/>
        <w:rPr>
          <w:rStyle w:val="ae"/>
          <w:rFonts w:ascii="黑体" w:hAnsi="黑体"/>
          <w:kern w:val="0"/>
          <w:szCs w:val="21"/>
        </w:rPr>
      </w:pPr>
      <w:r>
        <w:rPr>
          <w:rStyle w:val="ae"/>
          <w:rFonts w:ascii="黑体" w:hAnsi="黑体" w:hint="eastAsia"/>
          <w:kern w:val="0"/>
          <w:szCs w:val="21"/>
        </w:rPr>
        <w:t>图8.3.5 步履式顶推设备组成图</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w:t>
      </w:r>
      <w:proofErr w:type="gramStart"/>
      <w:r>
        <w:rPr>
          <w:rFonts w:ascii="宋体" w:eastAsia="宋体" w:hAnsi="宋体" w:cs="宋体" w:hint="eastAsia"/>
          <w:sz w:val="24"/>
          <w:szCs w:val="24"/>
        </w:rPr>
        <w:t>步履机</w:t>
      </w:r>
      <w:proofErr w:type="gramEnd"/>
      <w:r>
        <w:rPr>
          <w:rFonts w:ascii="宋体" w:eastAsia="宋体" w:hAnsi="宋体" w:cs="宋体" w:hint="eastAsia"/>
          <w:sz w:val="24"/>
          <w:szCs w:val="24"/>
        </w:rPr>
        <w:t>应包含分配梁、竖向顶升油缸、水平顶推油缸、底座和横向纠偏油缸，应具备竖向、</w:t>
      </w:r>
      <w:proofErr w:type="gramStart"/>
      <w:r>
        <w:rPr>
          <w:rFonts w:ascii="宋体" w:eastAsia="宋体" w:hAnsi="宋体" w:cs="宋体" w:hint="eastAsia"/>
          <w:sz w:val="24"/>
          <w:szCs w:val="24"/>
        </w:rPr>
        <w:t>纵桥向</w:t>
      </w:r>
      <w:proofErr w:type="gramEnd"/>
      <w:r>
        <w:rPr>
          <w:rFonts w:ascii="宋体" w:eastAsia="宋体" w:hAnsi="宋体" w:cs="宋体" w:hint="eastAsia"/>
          <w:sz w:val="24"/>
          <w:szCs w:val="24"/>
        </w:rPr>
        <w:t>和横桥向三向调节能力。</w:t>
      </w:r>
    </w:p>
    <w:p w:rsidR="00BA6061" w:rsidRDefault="00610DB9">
      <w:pPr>
        <w:pStyle w:val="ad"/>
        <w:ind w:firstLineChars="0" w:firstLine="0"/>
        <w:jc w:val="center"/>
      </w:pPr>
      <w:r>
        <w:rPr>
          <w:noProof/>
        </w:rPr>
        <w:drawing>
          <wp:inline distT="0" distB="0" distL="0" distR="0">
            <wp:extent cx="3239770" cy="1863725"/>
            <wp:effectExtent l="0" t="0" r="6350" b="1079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22"/>
                    <a:srcRect b="52829"/>
                    <a:stretch>
                      <a:fillRect/>
                    </a:stretch>
                  </pic:blipFill>
                  <pic:spPr>
                    <a:xfrm>
                      <a:off x="0" y="0"/>
                      <a:ext cx="3240000" cy="1863725"/>
                    </a:xfrm>
                    <a:prstGeom prst="rect">
                      <a:avLst/>
                    </a:prstGeom>
                  </pic:spPr>
                </pic:pic>
              </a:graphicData>
            </a:graphic>
          </wp:inline>
        </w:drawing>
      </w:r>
    </w:p>
    <w:p w:rsidR="00BA6061" w:rsidRDefault="00610DB9">
      <w:pPr>
        <w:ind w:firstLine="360"/>
        <w:jc w:val="center"/>
        <w:rPr>
          <w:rStyle w:val="ae"/>
          <w:rFonts w:ascii="宋体" w:eastAsia="宋体" w:hAnsi="宋体" w:cs="宋体"/>
          <w:kern w:val="0"/>
          <w:szCs w:val="21"/>
        </w:rPr>
      </w:pPr>
      <w:r>
        <w:rPr>
          <w:rStyle w:val="ae"/>
          <w:rFonts w:ascii="黑体" w:hAnsi="黑体" w:hint="eastAsia"/>
          <w:kern w:val="0"/>
          <w:szCs w:val="21"/>
        </w:rPr>
        <w:t>立面图</w:t>
      </w:r>
    </w:p>
    <w:p w:rsidR="00BA6061" w:rsidRDefault="00610DB9">
      <w:pPr>
        <w:pStyle w:val="ad"/>
        <w:ind w:firstLineChars="0" w:firstLine="0"/>
        <w:jc w:val="center"/>
      </w:pPr>
      <w:r>
        <w:rPr>
          <w:noProof/>
        </w:rPr>
        <w:drawing>
          <wp:inline distT="0" distB="0" distL="0" distR="0">
            <wp:extent cx="3239770" cy="1505585"/>
            <wp:effectExtent l="0" t="0" r="6350" b="317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icPr>
                  <pic:blipFill>
                    <a:blip r:embed="rId22"/>
                    <a:srcRect t="57393" b="4500"/>
                    <a:stretch>
                      <a:fillRect/>
                    </a:stretch>
                  </pic:blipFill>
                  <pic:spPr>
                    <a:xfrm>
                      <a:off x="0" y="0"/>
                      <a:ext cx="3240000" cy="1505585"/>
                    </a:xfrm>
                    <a:prstGeom prst="rect">
                      <a:avLst/>
                    </a:prstGeom>
                  </pic:spPr>
                </pic:pic>
              </a:graphicData>
            </a:graphic>
          </wp:inline>
        </w:drawing>
      </w:r>
    </w:p>
    <w:p w:rsidR="00BA6061" w:rsidRDefault="00610DB9">
      <w:pPr>
        <w:ind w:firstLine="360"/>
        <w:jc w:val="center"/>
        <w:rPr>
          <w:rStyle w:val="ae"/>
          <w:rFonts w:ascii="黑体" w:hAnsi="黑体"/>
          <w:kern w:val="0"/>
          <w:szCs w:val="21"/>
        </w:rPr>
      </w:pPr>
      <w:r>
        <w:rPr>
          <w:rStyle w:val="ae"/>
          <w:rFonts w:ascii="黑体" w:hAnsi="黑体" w:hint="eastAsia"/>
          <w:kern w:val="0"/>
          <w:szCs w:val="21"/>
        </w:rPr>
        <w:t>平面图</w:t>
      </w:r>
    </w:p>
    <w:p w:rsidR="00BA6061" w:rsidRDefault="00BA6061">
      <w:pPr>
        <w:ind w:firstLine="360"/>
        <w:jc w:val="center"/>
        <w:rPr>
          <w:rStyle w:val="ae"/>
          <w:rFonts w:ascii="黑体" w:hAnsi="黑体"/>
          <w:kern w:val="0"/>
          <w:szCs w:val="21"/>
        </w:rPr>
      </w:pPr>
    </w:p>
    <w:p w:rsidR="00BA6061" w:rsidRDefault="00610DB9">
      <w:pPr>
        <w:ind w:firstLine="360"/>
        <w:jc w:val="center"/>
        <w:rPr>
          <w:rStyle w:val="ae"/>
          <w:rFonts w:ascii="黑体" w:hAnsi="黑体"/>
          <w:kern w:val="0"/>
          <w:szCs w:val="21"/>
        </w:rPr>
      </w:pPr>
      <w:r>
        <w:rPr>
          <w:rStyle w:val="ae"/>
          <w:rFonts w:ascii="黑体" w:hAnsi="黑体" w:hint="eastAsia"/>
          <w:kern w:val="0"/>
          <w:szCs w:val="21"/>
        </w:rPr>
        <w:t xml:space="preserve">图8.3.6 </w:t>
      </w:r>
      <w:proofErr w:type="gramStart"/>
      <w:r>
        <w:rPr>
          <w:rStyle w:val="ae"/>
          <w:rFonts w:ascii="黑体" w:hAnsi="黑体" w:hint="eastAsia"/>
          <w:kern w:val="0"/>
          <w:szCs w:val="21"/>
        </w:rPr>
        <w:t>步履机</w:t>
      </w:r>
      <w:proofErr w:type="gramEnd"/>
      <w:r>
        <w:rPr>
          <w:rStyle w:val="ae"/>
          <w:rFonts w:ascii="黑体" w:hAnsi="黑体" w:hint="eastAsia"/>
          <w:kern w:val="0"/>
          <w:szCs w:val="21"/>
        </w:rPr>
        <w:t>一般组成图</w:t>
      </w:r>
    </w:p>
    <w:p w:rsidR="00BA6061" w:rsidRDefault="00610DB9">
      <w:pPr>
        <w:ind w:firstLine="360"/>
        <w:jc w:val="center"/>
        <w:rPr>
          <w:rStyle w:val="ae"/>
          <w:rFonts w:ascii="黑体" w:hAnsi="黑体"/>
          <w:kern w:val="0"/>
          <w:szCs w:val="21"/>
        </w:rPr>
      </w:pPr>
      <w:r>
        <w:rPr>
          <w:rStyle w:val="ae"/>
          <w:rFonts w:ascii="黑体" w:hAnsi="黑体" w:hint="eastAsia"/>
          <w:kern w:val="0"/>
          <w:szCs w:val="21"/>
        </w:rPr>
        <w:t>1——分配梁；2——竖向顶升油缸；3——水平顶推油缸；</w:t>
      </w:r>
    </w:p>
    <w:p w:rsidR="00BA6061" w:rsidRDefault="00610DB9">
      <w:pPr>
        <w:ind w:firstLine="360"/>
        <w:jc w:val="center"/>
        <w:rPr>
          <w:rStyle w:val="ae"/>
          <w:rFonts w:ascii="宋体" w:hAnsi="宋体" w:cs="宋体"/>
          <w:kern w:val="0"/>
          <w:szCs w:val="21"/>
        </w:rPr>
      </w:pPr>
      <w:r>
        <w:rPr>
          <w:rStyle w:val="ae"/>
          <w:rFonts w:ascii="黑体" w:hAnsi="黑体" w:hint="eastAsia"/>
          <w:kern w:val="0"/>
          <w:szCs w:val="21"/>
        </w:rPr>
        <w:t>4——底座；5——横向纠偏油缸。</w:t>
      </w:r>
    </w:p>
    <w:p w:rsidR="00BA6061" w:rsidRDefault="00BA6061">
      <w:pPr>
        <w:ind w:firstLine="640"/>
        <w:rPr>
          <w:rFonts w:ascii="仿宋" w:eastAsia="仿宋" w:hAnsi="仿宋" w:cs="Times New Roman"/>
          <w:bCs/>
          <w:sz w:val="32"/>
          <w:szCs w:val="32"/>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单台步履机宜设置2台及以上的竖向顶升油缸，竖向顶升能力不应小于顶推时最大竖向力的1.25倍。</w:t>
      </w:r>
    </w:p>
    <w:p w:rsidR="00BA6061" w:rsidRDefault="00610DB9">
      <w:pPr>
        <w:pStyle w:val="ad"/>
        <w:spacing w:line="360" w:lineRule="auto"/>
        <w:ind w:firstLine="480"/>
        <w:jc w:val="left"/>
        <w:rPr>
          <w:rFonts w:ascii="宋体" w:eastAsia="宋体" w:hAnsi="宋体" w:cs="宋体"/>
          <w:sz w:val="24"/>
          <w:szCs w:val="24"/>
        </w:rPr>
      </w:pPr>
      <w:r>
        <w:rPr>
          <w:rFonts w:ascii="宋体" w:eastAsia="宋体" w:hAnsi="宋体" w:cs="宋体" w:hint="eastAsia"/>
          <w:i/>
          <w:color w:val="00B050"/>
          <w:sz w:val="24"/>
          <w:szCs w:val="24"/>
        </w:rPr>
        <w:t>条文说明： 单台</w:t>
      </w:r>
      <w:proofErr w:type="gramStart"/>
      <w:r>
        <w:rPr>
          <w:rFonts w:ascii="宋体" w:eastAsia="宋体" w:hAnsi="宋体" w:cs="宋体" w:hint="eastAsia"/>
          <w:i/>
          <w:color w:val="00B050"/>
          <w:sz w:val="24"/>
          <w:szCs w:val="24"/>
        </w:rPr>
        <w:t>步履机</w:t>
      </w:r>
      <w:proofErr w:type="gramEnd"/>
      <w:r>
        <w:rPr>
          <w:rFonts w:ascii="宋体" w:eastAsia="宋体" w:hAnsi="宋体" w:cs="宋体" w:hint="eastAsia"/>
          <w:i/>
          <w:color w:val="00B050"/>
          <w:sz w:val="24"/>
          <w:szCs w:val="24"/>
        </w:rPr>
        <w:t>设置单台竖向顶升油缸易发生倾翻事故。</w:t>
      </w:r>
      <w:proofErr w:type="gramStart"/>
      <w:r>
        <w:rPr>
          <w:rFonts w:ascii="宋体" w:eastAsia="宋体" w:hAnsi="宋体" w:cs="宋体" w:hint="eastAsia"/>
          <w:i/>
          <w:color w:val="00B050"/>
          <w:sz w:val="24"/>
          <w:szCs w:val="24"/>
        </w:rPr>
        <w:t>步履机</w:t>
      </w:r>
      <w:proofErr w:type="gramEnd"/>
      <w:r>
        <w:rPr>
          <w:rFonts w:ascii="宋体" w:eastAsia="宋体" w:hAnsi="宋体" w:cs="宋体" w:hint="eastAsia"/>
          <w:i/>
          <w:color w:val="00B050"/>
          <w:sz w:val="24"/>
          <w:szCs w:val="24"/>
        </w:rPr>
        <w:t>竖向顶升油缸设置2台及以上数量可增大</w:t>
      </w:r>
      <w:proofErr w:type="gramStart"/>
      <w:r>
        <w:rPr>
          <w:rFonts w:ascii="宋体" w:eastAsia="宋体" w:hAnsi="宋体" w:cs="宋体" w:hint="eastAsia"/>
          <w:i/>
          <w:color w:val="00B050"/>
          <w:sz w:val="24"/>
          <w:szCs w:val="24"/>
        </w:rPr>
        <w:t>设备纵桥向</w:t>
      </w:r>
      <w:proofErr w:type="gramEnd"/>
      <w:r>
        <w:rPr>
          <w:rFonts w:ascii="宋体" w:eastAsia="宋体" w:hAnsi="宋体" w:cs="宋体" w:hint="eastAsia"/>
          <w:i/>
          <w:color w:val="00B050"/>
          <w:sz w:val="24"/>
          <w:szCs w:val="24"/>
        </w:rPr>
        <w:t>的稳定性。</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单台</w:t>
      </w:r>
      <w:proofErr w:type="gramStart"/>
      <w:r>
        <w:rPr>
          <w:rFonts w:ascii="宋体" w:eastAsia="宋体" w:hAnsi="宋体" w:cs="宋体" w:hint="eastAsia"/>
          <w:sz w:val="24"/>
          <w:szCs w:val="24"/>
        </w:rPr>
        <w:t>步履机</w:t>
      </w:r>
      <w:proofErr w:type="gramEnd"/>
      <w:r>
        <w:rPr>
          <w:rFonts w:ascii="宋体" w:eastAsia="宋体" w:hAnsi="宋体" w:cs="宋体" w:hint="eastAsia"/>
          <w:sz w:val="24"/>
          <w:szCs w:val="24"/>
        </w:rPr>
        <w:t>的水平顶推能力应不小于额定竖向顶升力的0.1倍。</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单台步履机宜设置4台及以上横向纠偏油缸，纠偏能力应不小于额定竖向顶升力的0.1倍，横向纠偏油缸应横桥向对称布置。</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w:t>
      </w:r>
      <w:proofErr w:type="gramStart"/>
      <w:r>
        <w:rPr>
          <w:rFonts w:ascii="宋体" w:eastAsia="宋体" w:hAnsi="宋体" w:cs="宋体" w:hint="eastAsia"/>
          <w:sz w:val="24"/>
          <w:szCs w:val="24"/>
        </w:rPr>
        <w:t>步履机</w:t>
      </w:r>
      <w:proofErr w:type="gramEnd"/>
      <w:r>
        <w:rPr>
          <w:rFonts w:ascii="宋体" w:eastAsia="宋体" w:hAnsi="宋体" w:cs="宋体" w:hint="eastAsia"/>
          <w:sz w:val="24"/>
          <w:szCs w:val="24"/>
        </w:rPr>
        <w:t>的底座滑移面应设置不锈钢板与高分子工程塑料合金材料组成的摩擦副，摩擦系数不应大于0.06，摩擦面须保持清洁及良好的润滑。</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液压泵站的配置方式应根据顶推设备的数量、分布及顶推速度等要求确定。各顶推设备的运行压力应能独立调节，不应并联使用。</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w:t>
      </w:r>
      <w:proofErr w:type="gramStart"/>
      <w:r>
        <w:rPr>
          <w:rFonts w:ascii="宋体" w:eastAsia="宋体" w:hAnsi="宋体" w:cs="宋体" w:hint="eastAsia"/>
          <w:sz w:val="24"/>
          <w:szCs w:val="24"/>
        </w:rPr>
        <w:t>纵桥向</w:t>
      </w:r>
      <w:proofErr w:type="gramEnd"/>
      <w:r>
        <w:rPr>
          <w:rFonts w:ascii="宋体" w:eastAsia="宋体" w:hAnsi="宋体" w:cs="宋体" w:hint="eastAsia"/>
          <w:sz w:val="24"/>
          <w:szCs w:val="24"/>
        </w:rPr>
        <w:t>顶推设备不宜共用液压泵站，液压泵站与顶推设备之间的管路长度不宜超过20m。</w:t>
      </w:r>
    </w:p>
    <w:p w:rsidR="00BA6061" w:rsidRDefault="00610DB9">
      <w:pPr>
        <w:pStyle w:val="ad"/>
        <w:spacing w:line="360" w:lineRule="auto"/>
        <w:ind w:firstLine="480"/>
        <w:jc w:val="left"/>
        <w:rPr>
          <w:rFonts w:ascii="宋体" w:eastAsia="宋体" w:hAnsi="宋体" w:cs="宋体"/>
          <w:sz w:val="24"/>
          <w:szCs w:val="24"/>
        </w:rPr>
      </w:pPr>
      <w:r>
        <w:rPr>
          <w:rFonts w:ascii="宋体" w:eastAsia="宋体" w:hAnsi="宋体" w:cs="宋体" w:hint="eastAsia"/>
          <w:i/>
          <w:color w:val="00B050"/>
          <w:sz w:val="24"/>
          <w:szCs w:val="24"/>
        </w:rPr>
        <w:t>条文说明： 通过泵站布置位置以缩短管路长度，可减小液压系统的压力损失，并降低爆管风险。</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液压泵站的额定压力应与顶推设备的额定压力相匹配，额定压力不宜大于31.5MPa。</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 31.5MPa适用于中等压力的液压系统，常见于工程机械和重型机械，该系统可选用的液压元件较为通用和成熟。</w:t>
      </w:r>
    </w:p>
    <w:p w:rsidR="00BA6061" w:rsidRDefault="00BA6061">
      <w:pPr>
        <w:pStyle w:val="ad"/>
        <w:spacing w:line="360" w:lineRule="auto"/>
        <w:ind w:firstLineChars="0" w:firstLine="0"/>
        <w:jc w:val="left"/>
        <w:rPr>
          <w:rFonts w:ascii="宋体" w:eastAsia="宋体" w:hAnsi="宋体" w:cs="宋体"/>
          <w:sz w:val="24"/>
          <w:szCs w:val="24"/>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液压泵站与顶推设备之间宜采用高压软管连接，高压软管应配备快速接头。</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 使用液压快速接头，可方便对设备进行快速的连接和拆除，并可防止油液泄漏。</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控制系统应由传感检测装置、计算机控制中心和网络通信系统组成。控制系统宜应用智能化和信息化技术，具备智能控制功能。</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计算机控制中心应具备同步与异步、</w:t>
      </w:r>
      <w:proofErr w:type="gramStart"/>
      <w:r>
        <w:rPr>
          <w:rFonts w:ascii="宋体" w:eastAsia="宋体" w:hAnsi="宋体" w:cs="宋体" w:hint="eastAsia"/>
          <w:sz w:val="24"/>
          <w:szCs w:val="24"/>
        </w:rPr>
        <w:t>手动与</w:t>
      </w:r>
      <w:proofErr w:type="gramEnd"/>
      <w:r>
        <w:rPr>
          <w:rFonts w:ascii="宋体" w:eastAsia="宋体" w:hAnsi="宋体" w:cs="宋体" w:hint="eastAsia"/>
          <w:sz w:val="24"/>
          <w:szCs w:val="24"/>
        </w:rPr>
        <w:t>自动、自锁与互锁以及故障指示与报警等功能。应具备友好的交互界面，操作者应能直观查看各设备的运行状态，并对各设备进行统一或独立操控。</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传感检测装置应具备实时采集功能，能实时监测各设备的运行状态及故障状态。</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网络通信系统应采用有线或无线方式。网络通信系统应运行稳定，网络延迟不应大于300ms。</w:t>
      </w:r>
    </w:p>
    <w:p w:rsidR="00BA6061" w:rsidRDefault="00610DB9">
      <w:pPr>
        <w:pStyle w:val="2"/>
        <w:keepNext w:val="0"/>
        <w:keepLines w:val="0"/>
        <w:numPr>
          <w:ilvl w:val="1"/>
          <w:numId w:val="1"/>
        </w:numPr>
        <w:spacing w:before="312" w:after="312" w:line="360" w:lineRule="auto"/>
        <w:ind w:left="0" w:firstLine="560"/>
        <w:jc w:val="center"/>
        <w:rPr>
          <w:rFonts w:ascii="黑体" w:hAnsi="黑体" w:cs="黑体"/>
          <w:b w:val="0"/>
          <w:kern w:val="44"/>
          <w:sz w:val="28"/>
          <w:szCs w:val="28"/>
        </w:rPr>
      </w:pPr>
      <w:bookmarkStart w:id="75" w:name="_Toc223533699"/>
      <w:bookmarkStart w:id="76" w:name="_Toc224026618"/>
      <w:r>
        <w:rPr>
          <w:rFonts w:ascii="黑体" w:hAnsi="黑体" w:cs="黑体" w:hint="eastAsia"/>
          <w:b w:val="0"/>
          <w:kern w:val="44"/>
          <w:sz w:val="28"/>
          <w:szCs w:val="28"/>
        </w:rPr>
        <w:t>结构计算</w:t>
      </w:r>
      <w:bookmarkEnd w:id="75"/>
      <w:bookmarkEnd w:id="76"/>
    </w:p>
    <w:p w:rsidR="00BA6061" w:rsidRDefault="00BA6061">
      <w:pPr>
        <w:pStyle w:val="ad"/>
        <w:numPr>
          <w:ilvl w:val="1"/>
          <w:numId w:val="3"/>
        </w:numPr>
        <w:spacing w:line="360" w:lineRule="auto"/>
        <w:ind w:firstLineChars="0"/>
        <w:jc w:val="left"/>
        <w:rPr>
          <w:rFonts w:ascii="宋体" w:eastAsia="宋体" w:hAnsi="宋体" w:cs="宋体"/>
          <w:vanish/>
          <w:sz w:val="24"/>
          <w:szCs w:val="24"/>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顶推施工结构计算应包含下列内容：</w:t>
      </w:r>
    </w:p>
    <w:p w:rsidR="00BA6061" w:rsidRDefault="00610DB9">
      <w:pPr>
        <w:pStyle w:val="ad"/>
        <w:numPr>
          <w:ilvl w:val="3"/>
          <w:numId w:val="13"/>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桥梁主体结构顶推过程的强度、刚度和稳定性验算。</w:t>
      </w:r>
    </w:p>
    <w:p w:rsidR="00BA6061" w:rsidRDefault="00610DB9">
      <w:pPr>
        <w:pStyle w:val="ad"/>
        <w:numPr>
          <w:ilvl w:val="3"/>
          <w:numId w:val="13"/>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混凝土梁顶推过程的抗裂验算。</w:t>
      </w:r>
    </w:p>
    <w:p w:rsidR="00BA6061" w:rsidRDefault="00610DB9">
      <w:pPr>
        <w:pStyle w:val="ad"/>
        <w:numPr>
          <w:ilvl w:val="3"/>
          <w:numId w:val="13"/>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临时结构顶推过程的强度、刚度和稳定性验算。</w:t>
      </w:r>
    </w:p>
    <w:p w:rsidR="00BA6061" w:rsidRDefault="00610DB9">
      <w:pPr>
        <w:pStyle w:val="ad"/>
        <w:numPr>
          <w:ilvl w:val="3"/>
          <w:numId w:val="13"/>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临时结构与桥梁主体结构的连接验算。</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顶推施工结构计算应符合现行国家标准《工程结构通用规范》GB 55001和</w:t>
      </w:r>
      <w:proofErr w:type="gramStart"/>
      <w:r>
        <w:rPr>
          <w:rFonts w:ascii="宋体" w:eastAsia="宋体" w:hAnsi="宋体" w:cs="宋体" w:hint="eastAsia"/>
          <w:sz w:val="24"/>
          <w:szCs w:val="24"/>
        </w:rPr>
        <w:t>现行行业</w:t>
      </w:r>
      <w:proofErr w:type="gramEnd"/>
      <w:r>
        <w:rPr>
          <w:rFonts w:ascii="宋体" w:eastAsia="宋体" w:hAnsi="宋体" w:cs="宋体" w:hint="eastAsia"/>
          <w:sz w:val="24"/>
          <w:szCs w:val="24"/>
        </w:rPr>
        <w:t>标准《公路桥涵设计通用规范》JTG D60的相关规定，应对起控制作用的极限状态进行计算。</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结构分析模型应模拟施工过程，应符合下列规定：</w:t>
      </w:r>
    </w:p>
    <w:p w:rsidR="00BA6061" w:rsidRDefault="00610DB9">
      <w:pPr>
        <w:pStyle w:val="ad"/>
        <w:numPr>
          <w:ilvl w:val="3"/>
          <w:numId w:val="14"/>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结构分析模型应反映施工过程中结构的边界条件、刚度与重量分布。</w:t>
      </w:r>
    </w:p>
    <w:p w:rsidR="00BA6061" w:rsidRDefault="00610DB9">
      <w:pPr>
        <w:pStyle w:val="ad"/>
        <w:numPr>
          <w:ilvl w:val="3"/>
          <w:numId w:val="14"/>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总体分析宜采用</w:t>
      </w:r>
      <w:proofErr w:type="gramStart"/>
      <w:r>
        <w:rPr>
          <w:rFonts w:ascii="宋体" w:eastAsia="宋体" w:hAnsi="宋体" w:cs="宋体" w:hint="eastAsia"/>
          <w:bCs/>
          <w:sz w:val="24"/>
          <w:szCs w:val="24"/>
        </w:rPr>
        <w:t>空间杆系模型</w:t>
      </w:r>
      <w:proofErr w:type="gramEnd"/>
      <w:r>
        <w:rPr>
          <w:rFonts w:ascii="宋体" w:eastAsia="宋体" w:hAnsi="宋体" w:cs="宋体" w:hint="eastAsia"/>
          <w:bCs/>
          <w:sz w:val="24"/>
          <w:szCs w:val="24"/>
        </w:rPr>
        <w:t>。</w:t>
      </w:r>
    </w:p>
    <w:p w:rsidR="00BA6061" w:rsidRDefault="00610DB9">
      <w:pPr>
        <w:pStyle w:val="ad"/>
        <w:numPr>
          <w:ilvl w:val="3"/>
          <w:numId w:val="14"/>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对于临时结构与桥梁主体结构连接部位等受力复杂的关键节点宜进行局部有限元分析。</w:t>
      </w:r>
    </w:p>
    <w:p w:rsidR="00BA6061" w:rsidRDefault="00610DB9">
      <w:pPr>
        <w:pStyle w:val="ad"/>
        <w:spacing w:line="360" w:lineRule="auto"/>
        <w:ind w:firstLine="480"/>
        <w:jc w:val="left"/>
        <w:rPr>
          <w:rFonts w:ascii="宋体" w:eastAsia="宋体" w:hAnsi="宋体" w:cs="宋体"/>
          <w:sz w:val="24"/>
          <w:szCs w:val="24"/>
        </w:rPr>
      </w:pPr>
      <w:r>
        <w:rPr>
          <w:rFonts w:ascii="宋体" w:eastAsia="宋体" w:hAnsi="宋体" w:cs="宋体" w:hint="eastAsia"/>
          <w:i/>
          <w:color w:val="00B050"/>
          <w:sz w:val="24"/>
          <w:szCs w:val="24"/>
        </w:rPr>
        <w:t>条文说明： 顶推结构施工计算时，设计人员除对结构进行总体计算分析外，必要时还应对临时结构与桥梁主体结构连接部位、承受较大集中荷载部位、</w:t>
      </w:r>
      <w:proofErr w:type="gramStart"/>
      <w:r>
        <w:rPr>
          <w:rFonts w:ascii="宋体" w:eastAsia="宋体" w:hAnsi="宋体" w:cs="宋体" w:hint="eastAsia"/>
          <w:i/>
          <w:color w:val="00B050"/>
          <w:sz w:val="24"/>
          <w:szCs w:val="24"/>
        </w:rPr>
        <w:t>传力不</w:t>
      </w:r>
      <w:proofErr w:type="gramEnd"/>
      <w:r>
        <w:rPr>
          <w:rFonts w:ascii="宋体" w:eastAsia="宋体" w:hAnsi="宋体" w:cs="宋体" w:hint="eastAsia"/>
          <w:i/>
          <w:color w:val="00B050"/>
          <w:sz w:val="24"/>
          <w:szCs w:val="24"/>
        </w:rPr>
        <w:t>明确或构造复杂部位的关键节点进行局部有限元分析。</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作用应符合下列规定：</w:t>
      </w:r>
    </w:p>
    <w:p w:rsidR="00BA6061" w:rsidRDefault="00610DB9">
      <w:pPr>
        <w:pStyle w:val="ad"/>
        <w:numPr>
          <w:ilvl w:val="3"/>
          <w:numId w:val="15"/>
        </w:numPr>
        <w:spacing w:line="360" w:lineRule="auto"/>
        <w:ind w:firstLine="480"/>
        <w:rPr>
          <w:rFonts w:ascii="宋体" w:eastAsia="宋体" w:hAnsi="宋体" w:cs="宋体"/>
          <w:bCs/>
          <w:sz w:val="24"/>
          <w:szCs w:val="24"/>
        </w:rPr>
      </w:pPr>
      <w:bookmarkStart w:id="77" w:name="OLE_LINK23"/>
      <w:r>
        <w:rPr>
          <w:rFonts w:ascii="宋体" w:eastAsia="宋体" w:hAnsi="宋体" w:cs="宋体" w:hint="eastAsia"/>
          <w:bCs/>
          <w:sz w:val="24"/>
          <w:szCs w:val="24"/>
        </w:rPr>
        <w:t>作用于顶推支墩的纵向水平力作用</w:t>
      </w:r>
      <w:proofErr w:type="gramStart"/>
      <w:r>
        <w:rPr>
          <w:rFonts w:ascii="宋体" w:eastAsia="宋体" w:hAnsi="宋体" w:cs="宋体" w:hint="eastAsia"/>
          <w:bCs/>
          <w:sz w:val="24"/>
          <w:szCs w:val="24"/>
        </w:rPr>
        <w:t>值按照下</w:t>
      </w:r>
      <w:proofErr w:type="gramEnd"/>
      <w:r>
        <w:rPr>
          <w:rFonts w:ascii="宋体" w:eastAsia="宋体" w:hAnsi="宋体" w:cs="宋体" w:hint="eastAsia"/>
          <w:bCs/>
          <w:sz w:val="24"/>
          <w:szCs w:val="24"/>
        </w:rPr>
        <w:t>式计算：</w:t>
      </w:r>
    </w:p>
    <w:p w:rsidR="00BA6061" w:rsidRDefault="00610DB9">
      <w:pPr>
        <w:spacing w:line="360" w:lineRule="auto"/>
        <w:ind w:firstLineChars="200" w:firstLine="480"/>
        <w:jc w:val="right"/>
        <w:rPr>
          <w:rFonts w:ascii="宋体" w:eastAsia="宋体" w:hAnsi="宋体" w:cs="宋体"/>
          <w:bCs/>
          <w:sz w:val="24"/>
          <w:szCs w:val="24"/>
        </w:rPr>
      </w:pPr>
      <m:oMath>
        <m:r>
          <w:rPr>
            <w:rFonts w:ascii="Cambria Math" w:eastAsia="宋体" w:hAnsi="Cambria Math" w:cs="宋体" w:hint="eastAsia"/>
            <w:sz w:val="24"/>
            <w:szCs w:val="24"/>
          </w:rPr>
          <m:t>F</m:t>
        </m:r>
        <m:r>
          <m:rPr>
            <m:sty m:val="p"/>
          </m:rPr>
          <w:rPr>
            <w:rFonts w:ascii="Cambria Math" w:eastAsia="宋体" w:hAnsi="Cambria Math" w:cs="宋体" w:hint="eastAsia"/>
            <w:sz w:val="24"/>
            <w:szCs w:val="24"/>
          </w:rPr>
          <m:t>=</m:t>
        </m:r>
        <m:r>
          <w:rPr>
            <w:rFonts w:ascii="Cambria Math" w:eastAsia="宋体" w:hAnsi="Cambria Math" w:cs="宋体" w:hint="eastAsia"/>
            <w:sz w:val="24"/>
            <w:szCs w:val="24"/>
          </w:rPr>
          <m:t>KNμ</m:t>
        </m:r>
      </m:oMath>
      <w:r>
        <w:rPr>
          <w:rFonts w:ascii="宋体" w:eastAsia="宋体" w:hAnsi="宋体" w:cs="宋体" w:hint="eastAsia"/>
          <w:sz w:val="24"/>
          <w:szCs w:val="24"/>
        </w:rPr>
        <w:t>……</w:t>
      </w:r>
      <w:proofErr w:type="gramStart"/>
      <w:r>
        <w:rPr>
          <w:rFonts w:ascii="宋体" w:eastAsia="宋体" w:hAnsi="宋体" w:cs="宋体" w:hint="eastAsia"/>
          <w:sz w:val="24"/>
          <w:szCs w:val="24"/>
        </w:rPr>
        <w:t>……………………………………</w:t>
      </w:r>
      <w:proofErr w:type="gramEnd"/>
      <w:r>
        <w:rPr>
          <w:rFonts w:ascii="宋体" w:eastAsia="宋体" w:hAnsi="宋体" w:cs="宋体" w:hint="eastAsia"/>
          <w:sz w:val="24"/>
          <w:szCs w:val="24"/>
        </w:rPr>
        <w:t>8.5.4</w:t>
      </w:r>
    </w:p>
    <w:p w:rsidR="00BA6061" w:rsidRDefault="00610DB9">
      <w:pPr>
        <w:spacing w:line="360" w:lineRule="auto"/>
        <w:ind w:firstLineChars="200" w:firstLine="480"/>
        <w:rPr>
          <w:rFonts w:ascii="宋体" w:eastAsia="宋体" w:hAnsi="宋体" w:cs="宋体"/>
          <w:bCs/>
          <w:sz w:val="24"/>
          <w:szCs w:val="24"/>
        </w:rPr>
      </w:pPr>
      <w:r>
        <w:rPr>
          <w:rFonts w:ascii="宋体" w:eastAsia="宋体" w:hAnsi="宋体" w:cs="宋体" w:hint="eastAsia"/>
          <w:bCs/>
          <w:sz w:val="24"/>
          <w:szCs w:val="24"/>
        </w:rPr>
        <w:t>式中：</w:t>
      </w:r>
    </w:p>
    <w:p w:rsidR="00BA6061" w:rsidRDefault="00610DB9">
      <w:pPr>
        <w:spacing w:line="360" w:lineRule="auto"/>
        <w:ind w:firstLineChars="200" w:firstLine="480"/>
        <w:rPr>
          <w:rFonts w:ascii="宋体" w:eastAsia="宋体" w:hAnsi="宋体" w:cs="宋体"/>
          <w:bCs/>
          <w:sz w:val="24"/>
          <w:szCs w:val="24"/>
        </w:rPr>
      </w:pPr>
      <w:r>
        <w:rPr>
          <w:rFonts w:ascii="宋体" w:eastAsia="宋体" w:hAnsi="宋体" w:cs="宋体" w:hint="eastAsia"/>
          <w:bCs/>
          <w:sz w:val="24"/>
          <w:szCs w:val="24"/>
        </w:rPr>
        <w:t>K——控制水平影响系数，根据顶推的同步控制水平确定，可取1.2～1.5。</w:t>
      </w:r>
    </w:p>
    <w:p w:rsidR="00BA6061" w:rsidRDefault="00610DB9">
      <w:pPr>
        <w:spacing w:line="360" w:lineRule="auto"/>
        <w:ind w:firstLineChars="200" w:firstLine="480"/>
        <w:rPr>
          <w:rFonts w:ascii="宋体" w:eastAsia="宋体" w:hAnsi="宋体" w:cs="宋体"/>
          <w:bCs/>
          <w:sz w:val="24"/>
          <w:szCs w:val="24"/>
        </w:rPr>
      </w:pPr>
      <w:r>
        <w:rPr>
          <w:rFonts w:ascii="宋体" w:eastAsia="宋体" w:hAnsi="宋体" w:cs="宋体" w:hint="eastAsia"/>
          <w:bCs/>
          <w:sz w:val="24"/>
          <w:szCs w:val="24"/>
        </w:rPr>
        <w:t>N——顶推支墩的</w:t>
      </w:r>
      <w:proofErr w:type="gramStart"/>
      <w:r>
        <w:rPr>
          <w:rFonts w:ascii="宋体" w:eastAsia="宋体" w:hAnsi="宋体" w:cs="宋体" w:hint="eastAsia"/>
          <w:bCs/>
          <w:sz w:val="24"/>
          <w:szCs w:val="24"/>
        </w:rPr>
        <w:t>最大支反力</w:t>
      </w:r>
      <w:proofErr w:type="gramEnd"/>
      <w:r>
        <w:rPr>
          <w:rFonts w:ascii="宋体" w:eastAsia="宋体" w:hAnsi="宋体" w:cs="宋体" w:hint="eastAsia"/>
          <w:bCs/>
          <w:sz w:val="24"/>
          <w:szCs w:val="24"/>
        </w:rPr>
        <w:t>（</w:t>
      </w:r>
      <w:proofErr w:type="spellStart"/>
      <w:r>
        <w:rPr>
          <w:rFonts w:ascii="宋体" w:eastAsia="宋体" w:hAnsi="宋体" w:cs="宋体" w:hint="eastAsia"/>
          <w:bCs/>
          <w:sz w:val="24"/>
          <w:szCs w:val="24"/>
        </w:rPr>
        <w:t>kN</w:t>
      </w:r>
      <w:proofErr w:type="spellEnd"/>
      <w:r>
        <w:rPr>
          <w:rFonts w:ascii="宋体" w:eastAsia="宋体" w:hAnsi="宋体" w:cs="宋体" w:hint="eastAsia"/>
          <w:bCs/>
          <w:sz w:val="24"/>
          <w:szCs w:val="24"/>
        </w:rPr>
        <w:t>）。</w:t>
      </w:r>
    </w:p>
    <w:p w:rsidR="00BA6061" w:rsidRDefault="00610DB9">
      <w:pPr>
        <w:spacing w:line="360" w:lineRule="auto"/>
        <w:ind w:firstLineChars="200" w:firstLine="480"/>
        <w:rPr>
          <w:rFonts w:ascii="宋体" w:eastAsia="宋体" w:hAnsi="宋体" w:cs="宋体"/>
          <w:bCs/>
          <w:sz w:val="24"/>
          <w:szCs w:val="24"/>
        </w:rPr>
      </w:pPr>
      <w:r>
        <w:rPr>
          <w:rFonts w:ascii="宋体" w:eastAsia="宋体" w:hAnsi="宋体" w:cs="宋体" w:hint="eastAsia"/>
          <w:bCs/>
          <w:sz w:val="24"/>
          <w:szCs w:val="24"/>
        </w:rPr>
        <w:t>μ——顶推体静摩擦系数μ，宜通过试验确定，无试验数据时，步履式顶推可取0.06，拖拉式顶推可取0.08。</w:t>
      </w:r>
    </w:p>
    <w:bookmarkEnd w:id="77"/>
    <w:p w:rsidR="00BA6061" w:rsidRDefault="00610DB9">
      <w:pPr>
        <w:pStyle w:val="ad"/>
        <w:numPr>
          <w:ilvl w:val="3"/>
          <w:numId w:val="15"/>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顶推结构横向纠偏时，作用于顶推支墩的横向水平力作用值可按式8.5.4计算。</w:t>
      </w:r>
    </w:p>
    <w:p w:rsidR="00BA6061" w:rsidRDefault="00610DB9">
      <w:pPr>
        <w:pStyle w:val="ad"/>
        <w:numPr>
          <w:ilvl w:val="3"/>
          <w:numId w:val="15"/>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流水压力及汽车撞击力计算等应按</w:t>
      </w:r>
      <w:proofErr w:type="gramStart"/>
      <w:r>
        <w:rPr>
          <w:rFonts w:ascii="宋体" w:eastAsia="宋体" w:hAnsi="宋体" w:cs="宋体" w:hint="eastAsia"/>
          <w:bCs/>
          <w:sz w:val="24"/>
          <w:szCs w:val="24"/>
        </w:rPr>
        <w:t>现行行业</w:t>
      </w:r>
      <w:proofErr w:type="gramEnd"/>
      <w:r>
        <w:rPr>
          <w:rFonts w:ascii="宋体" w:eastAsia="宋体" w:hAnsi="宋体" w:cs="宋体" w:hint="eastAsia"/>
          <w:bCs/>
          <w:sz w:val="24"/>
          <w:szCs w:val="24"/>
        </w:rPr>
        <w:t>标准《公路桥涵设计通用规范》JTG D60的相关规定执行。</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 本条有关结构作用的规定，兹说明如下：</w:t>
      </w:r>
    </w:p>
    <w:p w:rsidR="00BA6061" w:rsidRDefault="00AF7005">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 xml:space="preserve">1 </w:t>
      </w:r>
      <w:r w:rsidR="00610DB9">
        <w:rPr>
          <w:rFonts w:ascii="宋体" w:eastAsia="宋体" w:hAnsi="宋体" w:cs="宋体" w:hint="eastAsia"/>
          <w:i/>
          <w:color w:val="00B050"/>
          <w:sz w:val="24"/>
          <w:szCs w:val="24"/>
        </w:rPr>
        <w:t>下部结构或临时</w:t>
      </w:r>
      <w:proofErr w:type="gramStart"/>
      <w:r w:rsidR="00610DB9">
        <w:rPr>
          <w:rFonts w:ascii="宋体" w:eastAsia="宋体" w:hAnsi="宋体" w:cs="宋体" w:hint="eastAsia"/>
          <w:i/>
          <w:color w:val="00B050"/>
          <w:sz w:val="24"/>
          <w:szCs w:val="24"/>
        </w:rPr>
        <w:t>墩</w:t>
      </w:r>
      <w:proofErr w:type="gramEnd"/>
      <w:r w:rsidR="00610DB9">
        <w:rPr>
          <w:rFonts w:ascii="宋体" w:eastAsia="宋体" w:hAnsi="宋体" w:cs="宋体" w:hint="eastAsia"/>
          <w:i/>
          <w:color w:val="00B050"/>
          <w:sz w:val="24"/>
          <w:szCs w:val="24"/>
        </w:rPr>
        <w:t>计算时，还需考虑</w:t>
      </w:r>
      <w:proofErr w:type="gramStart"/>
      <w:r w:rsidR="00610DB9">
        <w:rPr>
          <w:rFonts w:ascii="宋体" w:eastAsia="宋体" w:hAnsi="宋体" w:cs="宋体" w:hint="eastAsia"/>
          <w:i/>
          <w:color w:val="00B050"/>
          <w:sz w:val="24"/>
          <w:szCs w:val="24"/>
        </w:rPr>
        <w:t>滑道及钢垫板</w:t>
      </w:r>
      <w:proofErr w:type="gramEnd"/>
      <w:r w:rsidR="00610DB9">
        <w:rPr>
          <w:rFonts w:ascii="宋体" w:eastAsia="宋体" w:hAnsi="宋体" w:cs="宋体" w:hint="eastAsia"/>
          <w:i/>
          <w:color w:val="00B050"/>
          <w:sz w:val="24"/>
          <w:szCs w:val="24"/>
        </w:rPr>
        <w:t>自重、动力系统自重、支撑架自重等。</w:t>
      </w:r>
    </w:p>
    <w:p w:rsidR="00BA6061" w:rsidRDefault="00AF7005">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2</w:t>
      </w:r>
      <w:r w:rsidR="00610DB9">
        <w:rPr>
          <w:rFonts w:ascii="宋体" w:eastAsia="宋体" w:hAnsi="宋体" w:cs="宋体" w:hint="eastAsia"/>
          <w:i/>
          <w:color w:val="00B050"/>
          <w:sz w:val="24"/>
          <w:szCs w:val="24"/>
        </w:rPr>
        <w:t xml:space="preserve"> 顶推施工是一个支承状态不断发生变化的过程，不同支承状态下顶推主体结构的受力状态大不相同。没有必要要求每一个状态都能承受极端风荷载作用。</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顶推行进作业应在气象条件较好的环境中开展，根据工程实践经验，顶推行进作业时的风力等级不宜超过6级风（6级风对应的风速范围为10.8m/s～13.8m/s）。同时，在顶推行进作业中应密切关注气象变化，如果可能遭遇超出该验算风速的极端天气，可将顶推体提前停顿在受力状态较好的位置，并做好相应的抗风措施。在保证顶推行进作业时风力等级不超过6级风的情况下，顶推行进中的基本风速可偏安全地取15m/s。</w:t>
      </w:r>
    </w:p>
    <w:p w:rsidR="00BA6061" w:rsidRDefault="00610DB9">
      <w:pPr>
        <w:pStyle w:val="ad"/>
        <w:spacing w:line="360" w:lineRule="auto"/>
        <w:ind w:firstLine="480"/>
        <w:jc w:val="left"/>
        <w:rPr>
          <w:rFonts w:ascii="宋体" w:eastAsia="宋体" w:hAnsi="宋体" w:cs="宋体"/>
          <w:bCs/>
          <w:sz w:val="24"/>
          <w:szCs w:val="24"/>
        </w:rPr>
      </w:pPr>
      <w:r>
        <w:rPr>
          <w:rFonts w:ascii="宋体" w:eastAsia="宋体" w:hAnsi="宋体" w:cs="宋体" w:hint="eastAsia"/>
          <w:i/>
          <w:color w:val="00B050"/>
          <w:sz w:val="24"/>
          <w:szCs w:val="24"/>
        </w:rPr>
        <w:t>对于非顶推行进过程中的结构验算，设计风速可按</w:t>
      </w:r>
      <w:proofErr w:type="gramStart"/>
      <w:r>
        <w:rPr>
          <w:rFonts w:ascii="宋体" w:eastAsia="宋体" w:hAnsi="宋体" w:cs="宋体" w:hint="eastAsia"/>
          <w:i/>
          <w:color w:val="00B050"/>
          <w:sz w:val="24"/>
          <w:szCs w:val="24"/>
        </w:rPr>
        <w:t>现行行业</w:t>
      </w:r>
      <w:proofErr w:type="gramEnd"/>
      <w:r>
        <w:rPr>
          <w:rFonts w:ascii="宋体" w:eastAsia="宋体" w:hAnsi="宋体" w:cs="宋体" w:hint="eastAsia"/>
          <w:i/>
          <w:color w:val="00B050"/>
          <w:sz w:val="24"/>
          <w:szCs w:val="24"/>
        </w:rPr>
        <w:t>标准《公路桥梁抗风设计规范》JTG/T 3360-01-2018第4.2.9条确定，顶推施工桥梁的施工年限一般不超过3年。</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bookmarkStart w:id="78" w:name="_Toc137117932"/>
      <w:bookmarkStart w:id="79" w:name="_Toc1737800"/>
      <w:bookmarkStart w:id="80" w:name="_Toc135998659"/>
      <w:bookmarkStart w:id="81" w:name="_Toc415129034"/>
      <w:bookmarkStart w:id="82" w:name="_Toc135996536"/>
      <w:bookmarkStart w:id="83" w:name="_Toc135997774"/>
      <w:bookmarkStart w:id="84" w:name="_Toc135998655"/>
      <w:bookmarkStart w:id="85" w:name="_Toc135997770"/>
      <w:bookmarkStart w:id="86" w:name="_Toc1737796"/>
      <w:bookmarkStart w:id="87" w:name="_Toc135996540"/>
      <w:r>
        <w:rPr>
          <w:rFonts w:ascii="宋体" w:eastAsia="宋体" w:hAnsi="宋体" w:cs="宋体" w:hint="eastAsia"/>
          <w:sz w:val="24"/>
          <w:szCs w:val="24"/>
        </w:rPr>
        <w:t xml:space="preserve"> 顶推总体分析时，应根据结构的受力特点按一定的分析步长进行结构计算，并应对计算工况进行包络分析，计算工况应包含：</w:t>
      </w:r>
    </w:p>
    <w:p w:rsidR="00BA6061" w:rsidRDefault="00610DB9">
      <w:pPr>
        <w:pStyle w:val="ad"/>
        <w:numPr>
          <w:ilvl w:val="3"/>
          <w:numId w:val="16"/>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前端上墩前、后工况。</w:t>
      </w:r>
    </w:p>
    <w:p w:rsidR="00BA6061" w:rsidRDefault="00610DB9">
      <w:pPr>
        <w:pStyle w:val="ad"/>
        <w:numPr>
          <w:ilvl w:val="3"/>
          <w:numId w:val="16"/>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后端脱墩前、后工况。</w:t>
      </w:r>
    </w:p>
    <w:p w:rsidR="00BA6061" w:rsidRDefault="00610DB9">
      <w:pPr>
        <w:pStyle w:val="ad"/>
        <w:numPr>
          <w:ilvl w:val="3"/>
          <w:numId w:val="16"/>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最大弯矩工况。</w:t>
      </w:r>
    </w:p>
    <w:p w:rsidR="00BA6061" w:rsidRDefault="00610DB9">
      <w:pPr>
        <w:pStyle w:val="ad"/>
        <w:numPr>
          <w:ilvl w:val="3"/>
          <w:numId w:val="16"/>
        </w:numPr>
        <w:spacing w:line="360" w:lineRule="auto"/>
        <w:ind w:firstLine="480"/>
        <w:rPr>
          <w:rFonts w:ascii="宋体" w:hAnsi="宋体" w:cs="宋体"/>
          <w:bCs/>
          <w:szCs w:val="24"/>
        </w:rPr>
      </w:pPr>
      <w:proofErr w:type="gramStart"/>
      <w:r>
        <w:rPr>
          <w:rFonts w:ascii="宋体" w:eastAsia="宋体" w:hAnsi="宋体" w:cs="宋体" w:hint="eastAsia"/>
          <w:bCs/>
          <w:sz w:val="24"/>
          <w:szCs w:val="24"/>
        </w:rPr>
        <w:t>最大支反力</w:t>
      </w:r>
      <w:proofErr w:type="gramEnd"/>
      <w:r>
        <w:rPr>
          <w:rFonts w:ascii="宋体" w:eastAsia="宋体" w:hAnsi="宋体" w:cs="宋体" w:hint="eastAsia"/>
          <w:bCs/>
          <w:sz w:val="24"/>
          <w:szCs w:val="24"/>
        </w:rPr>
        <w:t>工况</w:t>
      </w:r>
      <w:r>
        <w:rPr>
          <w:rFonts w:ascii="宋体" w:hAnsi="宋体" w:cs="宋体" w:hint="eastAsia"/>
        </w:rPr>
        <w:t>。</w:t>
      </w:r>
    </w:p>
    <w:p w:rsidR="00BA6061" w:rsidRDefault="00610DB9">
      <w:pPr>
        <w:pStyle w:val="ad"/>
        <w:spacing w:line="360" w:lineRule="auto"/>
        <w:ind w:firstLine="480"/>
        <w:jc w:val="left"/>
        <w:rPr>
          <w:rFonts w:ascii="宋体" w:hAnsi="宋体" w:cs="宋体"/>
          <w:bCs/>
          <w:szCs w:val="24"/>
        </w:rPr>
      </w:pPr>
      <w:r>
        <w:rPr>
          <w:rFonts w:ascii="宋体" w:eastAsia="宋体" w:hAnsi="宋体" w:cs="宋体" w:hint="eastAsia"/>
          <w:i/>
          <w:color w:val="00B050"/>
          <w:sz w:val="24"/>
          <w:szCs w:val="24"/>
        </w:rPr>
        <w:t>条文说明： 结构在顶推施工过程中的内力状态不断发生变化，为了真实反映这一变化，应根据结构的受力特点，确定合理的分析步长进行结构计算，尤其不能遗漏工况1～工况4等关键控制工况。</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梁拱组合结构顶推总体分析时，除应满足8.5.5条外，计算工况还应包含：</w:t>
      </w:r>
    </w:p>
    <w:p w:rsidR="00BA6061" w:rsidRDefault="00610DB9">
      <w:pPr>
        <w:pStyle w:val="ad"/>
        <w:numPr>
          <w:ilvl w:val="3"/>
          <w:numId w:val="17"/>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梁拱</w:t>
      </w:r>
      <w:proofErr w:type="gramStart"/>
      <w:r>
        <w:rPr>
          <w:rFonts w:ascii="宋体" w:eastAsia="宋体" w:hAnsi="宋体" w:cs="宋体" w:hint="eastAsia"/>
          <w:bCs/>
          <w:sz w:val="24"/>
          <w:szCs w:val="24"/>
        </w:rPr>
        <w:t>组合结构拱内临时</w:t>
      </w:r>
      <w:proofErr w:type="gramEnd"/>
      <w:r>
        <w:rPr>
          <w:rFonts w:ascii="宋体" w:eastAsia="宋体" w:hAnsi="宋体" w:cs="宋体" w:hint="eastAsia"/>
          <w:bCs/>
          <w:sz w:val="24"/>
          <w:szCs w:val="24"/>
        </w:rPr>
        <w:t>撑杆最大轴力工况。</w:t>
      </w:r>
    </w:p>
    <w:p w:rsidR="00BA6061" w:rsidRDefault="00610DB9">
      <w:pPr>
        <w:pStyle w:val="ad"/>
        <w:numPr>
          <w:ilvl w:val="3"/>
          <w:numId w:val="17"/>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梁拱组合结构主梁最大剪力工况。</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混凝土结构验算应符合</w:t>
      </w:r>
      <w:proofErr w:type="gramStart"/>
      <w:r>
        <w:rPr>
          <w:rFonts w:ascii="宋体" w:eastAsia="宋体" w:hAnsi="宋体" w:cs="宋体" w:hint="eastAsia"/>
          <w:sz w:val="24"/>
          <w:szCs w:val="24"/>
        </w:rPr>
        <w:t>现行行业</w:t>
      </w:r>
      <w:proofErr w:type="gramEnd"/>
      <w:r>
        <w:rPr>
          <w:rFonts w:ascii="宋体" w:eastAsia="宋体" w:hAnsi="宋体" w:cs="宋体" w:hint="eastAsia"/>
          <w:sz w:val="24"/>
          <w:szCs w:val="24"/>
        </w:rPr>
        <w:t>标准《公路钢筋混凝土及预应力混凝土桥涵设计规范》JTG 3362的相关规定。</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 顶推施工的混凝土结构验算应符合</w:t>
      </w:r>
      <w:proofErr w:type="gramStart"/>
      <w:r>
        <w:rPr>
          <w:rFonts w:ascii="宋体" w:eastAsia="宋体" w:hAnsi="宋体" w:cs="宋体" w:hint="eastAsia"/>
          <w:i/>
          <w:color w:val="00B050"/>
          <w:sz w:val="24"/>
          <w:szCs w:val="24"/>
        </w:rPr>
        <w:t>现行行业</w:t>
      </w:r>
      <w:proofErr w:type="gramEnd"/>
      <w:r>
        <w:rPr>
          <w:rFonts w:ascii="宋体" w:eastAsia="宋体" w:hAnsi="宋体" w:cs="宋体" w:hint="eastAsia"/>
          <w:i/>
          <w:color w:val="00B050"/>
          <w:sz w:val="24"/>
          <w:szCs w:val="24"/>
        </w:rPr>
        <w:t>标准《公路钢筋混凝土及预应力混凝土桥涵设计规范》JTG 3362-2018的相关规定，</w:t>
      </w:r>
      <w:proofErr w:type="gramStart"/>
      <w:r>
        <w:rPr>
          <w:rFonts w:ascii="宋体" w:eastAsia="宋体" w:hAnsi="宋体" w:cs="宋体" w:hint="eastAsia"/>
          <w:i/>
          <w:color w:val="00B050"/>
          <w:sz w:val="24"/>
          <w:szCs w:val="24"/>
        </w:rPr>
        <w:t>并尤其</w:t>
      </w:r>
      <w:proofErr w:type="gramEnd"/>
      <w:r>
        <w:rPr>
          <w:rFonts w:ascii="宋体" w:eastAsia="宋体" w:hAnsi="宋体" w:cs="宋体" w:hint="eastAsia"/>
          <w:i/>
          <w:color w:val="00B050"/>
          <w:sz w:val="24"/>
          <w:szCs w:val="24"/>
        </w:rPr>
        <w:t>关注混凝土结构的抗裂验算、局部承压验算等。</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钢结构验算应符合</w:t>
      </w:r>
      <w:proofErr w:type="gramStart"/>
      <w:r>
        <w:rPr>
          <w:rFonts w:ascii="宋体" w:eastAsia="宋体" w:hAnsi="宋体" w:cs="宋体" w:hint="eastAsia"/>
          <w:sz w:val="24"/>
          <w:szCs w:val="24"/>
        </w:rPr>
        <w:t>现行行业</w:t>
      </w:r>
      <w:proofErr w:type="gramEnd"/>
      <w:r>
        <w:rPr>
          <w:rFonts w:ascii="宋体" w:eastAsia="宋体" w:hAnsi="宋体" w:cs="宋体" w:hint="eastAsia"/>
          <w:sz w:val="24"/>
          <w:szCs w:val="24"/>
        </w:rPr>
        <w:t>标准《公路钢结构桥梁设计规范》JTG D64的相关规定，临时墩和顶推平台钢结构验算可按现行国家标准《钢结构设计标准》GB 50017相关规定执行。</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顶推施工过程中顶推体的抗倾覆稳定系数不应小于1.5。</w:t>
      </w:r>
    </w:p>
    <w:p w:rsidR="00BA6061" w:rsidRDefault="00610DB9">
      <w:pPr>
        <w:pStyle w:val="ad"/>
        <w:spacing w:line="360" w:lineRule="auto"/>
        <w:ind w:firstLine="480"/>
        <w:jc w:val="left"/>
        <w:rPr>
          <w:rFonts w:ascii="宋体" w:eastAsia="宋体" w:hAnsi="宋体" w:cs="宋体"/>
          <w:sz w:val="24"/>
          <w:szCs w:val="24"/>
        </w:rPr>
      </w:pPr>
      <w:r>
        <w:rPr>
          <w:rFonts w:ascii="宋体" w:eastAsia="宋体" w:hAnsi="宋体" w:cs="宋体" w:hint="eastAsia"/>
          <w:i/>
          <w:color w:val="00B050"/>
          <w:sz w:val="24"/>
          <w:szCs w:val="24"/>
        </w:rPr>
        <w:t>条文说明： 顶推体的纵向抗倾覆稳定性验算不满足要求时，可采用配重等方式，提高顶推体的纵向抗倾覆稳定系数。顶推体的横向抗倾覆稳定性主要受风荷载影响，对于梁拱组合结构、桁架等结构高度较高、迎风面较大的结构（尤其是窄桥），</w:t>
      </w:r>
      <w:proofErr w:type="gramStart"/>
      <w:r>
        <w:rPr>
          <w:rFonts w:ascii="宋体" w:eastAsia="宋体" w:hAnsi="宋体" w:cs="宋体" w:hint="eastAsia"/>
          <w:i/>
          <w:color w:val="00B050"/>
          <w:sz w:val="24"/>
          <w:szCs w:val="24"/>
        </w:rPr>
        <w:t>需尤其</w:t>
      </w:r>
      <w:proofErr w:type="gramEnd"/>
      <w:r>
        <w:rPr>
          <w:rFonts w:ascii="宋体" w:eastAsia="宋体" w:hAnsi="宋体" w:cs="宋体" w:hint="eastAsia"/>
          <w:i/>
          <w:color w:val="00B050"/>
          <w:sz w:val="24"/>
          <w:szCs w:val="24"/>
        </w:rPr>
        <w:t>关注顶推体的横向抗倾覆稳定验算。</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顶推施工过程应进行钢结构腹板局部稳定性验算。</w:t>
      </w:r>
    </w:p>
    <w:p w:rsidR="00BA6061" w:rsidRDefault="00610DB9">
      <w:pPr>
        <w:pStyle w:val="ad"/>
        <w:spacing w:line="360" w:lineRule="auto"/>
        <w:ind w:firstLine="480"/>
        <w:jc w:val="left"/>
        <w:rPr>
          <w:rFonts w:ascii="宋体" w:eastAsia="宋体" w:hAnsi="宋体" w:cs="宋体"/>
          <w:i/>
          <w:color w:val="00B050"/>
          <w:sz w:val="24"/>
          <w:szCs w:val="24"/>
        </w:rPr>
      </w:pPr>
      <w:r>
        <w:rPr>
          <w:rFonts w:ascii="宋体" w:eastAsia="宋体" w:hAnsi="宋体" w:cs="宋体" w:hint="eastAsia"/>
          <w:i/>
          <w:color w:val="00B050"/>
          <w:sz w:val="24"/>
          <w:szCs w:val="24"/>
        </w:rPr>
        <w:t>条文说明： 顶推施工过程中，在顶推设备支承点位置，腹板下方受到剪应力和纵向、竖向两向压力作用，存在局部失稳的可能。因此，需要特别关注钢结构腹板的局部稳定性能。</w:t>
      </w:r>
      <w:proofErr w:type="gramStart"/>
      <w:r>
        <w:rPr>
          <w:rFonts w:ascii="宋体" w:eastAsia="宋体" w:hAnsi="宋体" w:cs="宋体" w:hint="eastAsia"/>
          <w:i/>
          <w:color w:val="00B050"/>
          <w:sz w:val="24"/>
          <w:szCs w:val="24"/>
        </w:rPr>
        <w:t>现行行业</w:t>
      </w:r>
      <w:proofErr w:type="gramEnd"/>
      <w:r>
        <w:rPr>
          <w:rFonts w:ascii="宋体" w:eastAsia="宋体" w:hAnsi="宋体" w:cs="宋体" w:hint="eastAsia"/>
          <w:i/>
          <w:color w:val="00B050"/>
          <w:sz w:val="24"/>
          <w:szCs w:val="24"/>
        </w:rPr>
        <w:t>标准《公路钢结构桥梁设计规范》JTG D64-2015第5.3.3条关于钢结构腹板局部稳定的验算方法只考虑了剪应力和纵向正应力，不支持三向复合应力作用下的腹板稳定性验算，需采用其他更精确的方法计算。</w:t>
      </w:r>
    </w:p>
    <w:p w:rsidR="00BA6061" w:rsidRDefault="00610DB9">
      <w:pPr>
        <w:pStyle w:val="ad"/>
        <w:spacing w:line="360" w:lineRule="auto"/>
        <w:ind w:firstLine="480"/>
        <w:jc w:val="left"/>
        <w:rPr>
          <w:rFonts w:ascii="宋体" w:eastAsia="宋体" w:hAnsi="宋体" w:cs="宋体"/>
          <w:i/>
          <w:color w:val="00B050"/>
          <w:sz w:val="24"/>
          <w:szCs w:val="24"/>
        </w:rPr>
      </w:pPr>
      <w:proofErr w:type="gramStart"/>
      <w:r>
        <w:rPr>
          <w:rFonts w:ascii="宋体" w:eastAsia="宋体" w:hAnsi="宋体" w:cs="宋体" w:hint="eastAsia"/>
          <w:i/>
          <w:color w:val="00B050"/>
          <w:sz w:val="24"/>
          <w:szCs w:val="24"/>
        </w:rPr>
        <w:t>现行行业</w:t>
      </w:r>
      <w:proofErr w:type="gramEnd"/>
      <w:r>
        <w:rPr>
          <w:rFonts w:ascii="宋体" w:eastAsia="宋体" w:hAnsi="宋体" w:cs="宋体" w:hint="eastAsia"/>
          <w:i/>
          <w:color w:val="00B050"/>
          <w:sz w:val="24"/>
          <w:szCs w:val="24"/>
        </w:rPr>
        <w:t>标准《铁路桥梁钢结构设计规范》TB 10091-2017条文说明第8.0.6条提供了关于板梁腹板整体稳定和板块局部稳定的验算方法，可支持三向复合应力作用下的腹板稳定性验算。其中，安全系数V的计算公式可参考由兰州铁道学院工程系结构研究室和铁道部第三勘测设计标准处所著，由人民铁道出版社于1978年出版的《箱型钢梁薄腹板稳定》一书。</w:t>
      </w:r>
    </w:p>
    <w:p w:rsidR="00BA6061" w:rsidRDefault="00610DB9">
      <w:pPr>
        <w:pStyle w:val="ad"/>
        <w:spacing w:line="360" w:lineRule="auto"/>
        <w:ind w:firstLine="480"/>
        <w:jc w:val="left"/>
        <w:rPr>
          <w:rFonts w:ascii="宋体" w:eastAsia="宋体" w:hAnsi="宋体" w:cs="宋体"/>
          <w:i/>
          <w:color w:val="00B050"/>
          <w:sz w:val="24"/>
          <w:szCs w:val="24"/>
        </w:rPr>
        <w:sectPr w:rsidR="00BA6061">
          <w:pgSz w:w="11906" w:h="16838"/>
          <w:pgMar w:top="1440" w:right="1800" w:bottom="1440" w:left="1800" w:header="851" w:footer="992" w:gutter="0"/>
          <w:cols w:space="425"/>
          <w:docGrid w:type="lines" w:linePitch="312"/>
        </w:sectPr>
      </w:pPr>
      <w:r>
        <w:rPr>
          <w:rFonts w:ascii="宋体" w:eastAsia="宋体" w:hAnsi="宋体" w:cs="宋体" w:hint="eastAsia"/>
          <w:i/>
          <w:color w:val="00B050"/>
          <w:sz w:val="24"/>
          <w:szCs w:val="24"/>
        </w:rPr>
        <w:t>有限元方法也可验算钢结构腹板的局部稳定性。准确分析钢腹板的局部稳定性能应采用非线性分析方法。但实际工作中，大多数工程技术人员更倾向于采用更为方便的线弹性稳定分析方法。目前，尚无国家或行业标准对线弹性稳定系数进行明确规定，设计人员普遍用线弹性稳定系数4.0作为衡量成桥运营阶段稳定性能的标准。顶推施工阶段为短暂工况，要求可以适当降低。已有的工程案例杭州市九堡大桥，在衡量顶推施工阶段腹板局部稳定性能时，按照恒载下的线弹性稳定系数不低于3.0控制，恒载+风荷载下的线弹性稳定系数不低于2.5控制，按此标准进行设计的该桥在顶推施工过程中腹板状态良好。顶推施工过程中的钢腹板失稳与施工控制工艺密切相关，钢腹板稳定计算只是控制钢腹板失稳的基础，施工控制工艺对钢腹板失稳的影响尤其重大。顶推施工过程中，应保证顶升点与腹板的严格对正，保证顶推体</w:t>
      </w:r>
      <w:proofErr w:type="gramStart"/>
      <w:r>
        <w:rPr>
          <w:rFonts w:ascii="宋体" w:eastAsia="宋体" w:hAnsi="宋体" w:cs="宋体" w:hint="eastAsia"/>
          <w:i/>
          <w:color w:val="00B050"/>
          <w:sz w:val="24"/>
          <w:szCs w:val="24"/>
        </w:rPr>
        <w:t>与垫块</w:t>
      </w:r>
      <w:proofErr w:type="gramEnd"/>
      <w:r>
        <w:rPr>
          <w:rFonts w:ascii="宋体" w:eastAsia="宋体" w:hAnsi="宋体" w:cs="宋体" w:hint="eastAsia"/>
          <w:i/>
          <w:color w:val="00B050"/>
          <w:sz w:val="24"/>
          <w:szCs w:val="24"/>
        </w:rPr>
        <w:t>的充分接触，并控制好抄垫质量。</w:t>
      </w:r>
    </w:p>
    <w:p w:rsidR="00BA6061" w:rsidRDefault="00610DB9" w:rsidP="00BF12E9">
      <w:pPr>
        <w:pStyle w:val="1"/>
        <w:keepNext w:val="0"/>
        <w:keepLines w:val="0"/>
        <w:spacing w:before="312" w:after="312"/>
      </w:pPr>
      <w:r>
        <w:rPr>
          <w:rFonts w:hint="eastAsia"/>
        </w:rPr>
        <w:t xml:space="preserve">  </w:t>
      </w:r>
      <w:bookmarkStart w:id="88" w:name="_Toc224026619"/>
      <w:r>
        <w:rPr>
          <w:rFonts w:hint="eastAsia"/>
        </w:rPr>
        <w:t>质量检验</w:t>
      </w:r>
      <w:bookmarkEnd w:id="88"/>
    </w:p>
    <w:p w:rsidR="00BA6061" w:rsidRDefault="00610DB9">
      <w:pPr>
        <w:pStyle w:val="2"/>
        <w:keepNext w:val="0"/>
        <w:keepLines w:val="0"/>
        <w:numPr>
          <w:ilvl w:val="1"/>
          <w:numId w:val="1"/>
        </w:numPr>
        <w:spacing w:before="312" w:after="312" w:line="360" w:lineRule="auto"/>
        <w:ind w:left="0" w:firstLine="560"/>
        <w:jc w:val="center"/>
        <w:rPr>
          <w:rFonts w:ascii="黑体" w:hAnsi="黑体" w:cs="黑体"/>
          <w:b w:val="0"/>
          <w:kern w:val="44"/>
          <w:sz w:val="28"/>
          <w:szCs w:val="28"/>
        </w:rPr>
      </w:pPr>
      <w:bookmarkStart w:id="89" w:name="_Toc223533700"/>
      <w:bookmarkStart w:id="90" w:name="_Toc224026620"/>
      <w:bookmarkEnd w:id="78"/>
      <w:bookmarkEnd w:id="79"/>
      <w:bookmarkEnd w:id="80"/>
      <w:bookmarkEnd w:id="81"/>
      <w:bookmarkEnd w:id="82"/>
      <w:bookmarkEnd w:id="83"/>
      <w:bookmarkEnd w:id="84"/>
      <w:bookmarkEnd w:id="85"/>
      <w:bookmarkEnd w:id="86"/>
      <w:bookmarkEnd w:id="87"/>
      <w:r>
        <w:rPr>
          <w:rFonts w:ascii="黑体" w:hAnsi="黑体" w:cs="黑体" w:hint="eastAsia"/>
          <w:b w:val="0"/>
          <w:kern w:val="44"/>
          <w:sz w:val="28"/>
          <w:szCs w:val="28"/>
        </w:rPr>
        <w:t>一般规定</w:t>
      </w:r>
      <w:bookmarkEnd w:id="89"/>
      <w:bookmarkEnd w:id="90"/>
    </w:p>
    <w:p w:rsidR="00BA6061" w:rsidRDefault="00BA6061">
      <w:pPr>
        <w:pStyle w:val="ad"/>
        <w:numPr>
          <w:ilvl w:val="0"/>
          <w:numId w:val="3"/>
        </w:numPr>
        <w:spacing w:line="360" w:lineRule="auto"/>
        <w:ind w:firstLineChars="0"/>
        <w:jc w:val="left"/>
        <w:rPr>
          <w:rFonts w:ascii="宋体" w:eastAsia="宋体" w:hAnsi="宋体" w:cs="宋体"/>
          <w:vanish/>
          <w:sz w:val="24"/>
          <w:szCs w:val="24"/>
        </w:rPr>
      </w:pPr>
    </w:p>
    <w:p w:rsidR="00BA6061" w:rsidRDefault="00BA6061">
      <w:pPr>
        <w:pStyle w:val="ad"/>
        <w:numPr>
          <w:ilvl w:val="1"/>
          <w:numId w:val="3"/>
        </w:numPr>
        <w:spacing w:line="360" w:lineRule="auto"/>
        <w:ind w:firstLineChars="0"/>
        <w:jc w:val="left"/>
        <w:rPr>
          <w:rFonts w:ascii="宋体" w:eastAsia="宋体" w:hAnsi="宋体" w:cs="宋体"/>
          <w:vanish/>
          <w:sz w:val="24"/>
          <w:szCs w:val="24"/>
        </w:rPr>
      </w:pPr>
    </w:p>
    <w:p w:rsidR="00BA6061" w:rsidRDefault="00BA6061">
      <w:pPr>
        <w:pStyle w:val="ad"/>
        <w:numPr>
          <w:ilvl w:val="1"/>
          <w:numId w:val="3"/>
        </w:numPr>
        <w:spacing w:line="360" w:lineRule="auto"/>
        <w:ind w:firstLineChars="0"/>
        <w:jc w:val="left"/>
        <w:rPr>
          <w:rFonts w:ascii="宋体" w:eastAsia="宋体" w:hAnsi="宋体" w:cs="宋体"/>
          <w:vanish/>
          <w:sz w:val="24"/>
          <w:szCs w:val="24"/>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原材料及构配件进场后应对材质、规格尺寸、焊接质量、螺栓连接质量、外观质量等进行检查验收，建筑钢结构工程应符合现行国家标准《钢结构工程施工质量验收标准》GB 50205的相关规定。桥梁工程应符合</w:t>
      </w:r>
      <w:proofErr w:type="gramStart"/>
      <w:r>
        <w:rPr>
          <w:rFonts w:ascii="宋体" w:eastAsia="宋体" w:hAnsi="宋体" w:cs="宋体" w:hint="eastAsia"/>
          <w:sz w:val="24"/>
          <w:szCs w:val="24"/>
        </w:rPr>
        <w:t>现行行业</w:t>
      </w:r>
      <w:proofErr w:type="gramEnd"/>
      <w:r>
        <w:rPr>
          <w:rFonts w:ascii="宋体" w:eastAsia="宋体" w:hAnsi="宋体" w:cs="宋体" w:hint="eastAsia"/>
          <w:sz w:val="24"/>
          <w:szCs w:val="24"/>
        </w:rPr>
        <w:t>标准《城市桥梁工程施工与质量验收规范》CJJ 2、《公路工程质量检验评定标准 第一册 土建工程》JTG F80/1的相关规定。</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进入现场的新购原材及构配件应具备下列证明材料：</w:t>
      </w:r>
    </w:p>
    <w:p w:rsidR="00BA6061" w:rsidRDefault="00610DB9">
      <w:pPr>
        <w:pStyle w:val="ad"/>
        <w:numPr>
          <w:ilvl w:val="3"/>
          <w:numId w:val="18"/>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产品标识及产品质量合格证。</w:t>
      </w:r>
    </w:p>
    <w:p w:rsidR="00BA6061" w:rsidRDefault="00610DB9">
      <w:pPr>
        <w:pStyle w:val="ad"/>
        <w:numPr>
          <w:ilvl w:val="3"/>
          <w:numId w:val="18"/>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供应</w:t>
      </w:r>
      <w:proofErr w:type="gramStart"/>
      <w:r>
        <w:rPr>
          <w:rFonts w:ascii="宋体" w:eastAsia="宋体" w:hAnsi="宋体" w:cs="宋体" w:hint="eastAsia"/>
          <w:bCs/>
          <w:sz w:val="24"/>
          <w:szCs w:val="24"/>
        </w:rPr>
        <w:t>商配套</w:t>
      </w:r>
      <w:proofErr w:type="gramEnd"/>
      <w:r>
        <w:rPr>
          <w:rFonts w:ascii="宋体" w:eastAsia="宋体" w:hAnsi="宋体" w:cs="宋体" w:hint="eastAsia"/>
          <w:bCs/>
          <w:sz w:val="24"/>
          <w:szCs w:val="24"/>
        </w:rPr>
        <w:t>提供的型材、铸件、冲压件、</w:t>
      </w:r>
      <w:proofErr w:type="gramStart"/>
      <w:r>
        <w:rPr>
          <w:rFonts w:ascii="宋体" w:eastAsia="宋体" w:hAnsi="宋体" w:cs="宋体" w:hint="eastAsia"/>
          <w:bCs/>
          <w:sz w:val="24"/>
          <w:szCs w:val="24"/>
        </w:rPr>
        <w:t>常备式定型钢</w:t>
      </w:r>
      <w:proofErr w:type="gramEnd"/>
      <w:r>
        <w:rPr>
          <w:rFonts w:ascii="宋体" w:eastAsia="宋体" w:hAnsi="宋体" w:cs="宋体" w:hint="eastAsia"/>
          <w:bCs/>
          <w:sz w:val="24"/>
          <w:szCs w:val="24"/>
        </w:rPr>
        <w:t>构件等材料的材质、产品性能检验报告。</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重复使用的材料及构配件应经检查合格后方可使用。</w:t>
      </w:r>
    </w:p>
    <w:p w:rsidR="00BA6061" w:rsidRDefault="00610DB9">
      <w:pPr>
        <w:pStyle w:val="2"/>
        <w:keepNext w:val="0"/>
        <w:keepLines w:val="0"/>
        <w:numPr>
          <w:ilvl w:val="1"/>
          <w:numId w:val="1"/>
        </w:numPr>
        <w:spacing w:before="312" w:after="312" w:line="360" w:lineRule="auto"/>
        <w:ind w:left="0" w:firstLine="560"/>
        <w:jc w:val="center"/>
        <w:rPr>
          <w:rFonts w:ascii="黑体" w:hAnsi="黑体" w:cs="黑体"/>
          <w:b w:val="0"/>
          <w:kern w:val="44"/>
          <w:sz w:val="28"/>
          <w:szCs w:val="28"/>
        </w:rPr>
      </w:pPr>
      <w:bookmarkStart w:id="91" w:name="_Toc223533701"/>
      <w:bookmarkStart w:id="92" w:name="_Toc224026621"/>
      <w:r>
        <w:rPr>
          <w:rFonts w:ascii="黑体" w:hAnsi="黑体" w:cs="黑体" w:hint="eastAsia"/>
          <w:b w:val="0"/>
          <w:kern w:val="44"/>
          <w:sz w:val="28"/>
          <w:szCs w:val="28"/>
        </w:rPr>
        <w:t>同步提升质量检验</w:t>
      </w:r>
      <w:bookmarkEnd w:id="91"/>
      <w:bookmarkEnd w:id="92"/>
    </w:p>
    <w:p w:rsidR="00BA6061" w:rsidRDefault="00BA6061">
      <w:pPr>
        <w:pStyle w:val="ad"/>
        <w:numPr>
          <w:ilvl w:val="1"/>
          <w:numId w:val="3"/>
        </w:numPr>
        <w:spacing w:line="360" w:lineRule="auto"/>
        <w:ind w:firstLineChars="0"/>
        <w:jc w:val="left"/>
        <w:rPr>
          <w:rFonts w:ascii="宋体" w:eastAsia="宋体" w:hAnsi="宋体" w:cs="宋体"/>
          <w:vanish/>
          <w:sz w:val="24"/>
          <w:szCs w:val="24"/>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w:t>
      </w:r>
      <w:r>
        <w:rPr>
          <w:rFonts w:ascii="宋体" w:eastAsia="宋体" w:hAnsi="宋体" w:cs="宋体"/>
          <w:sz w:val="24"/>
          <w:szCs w:val="24"/>
        </w:rPr>
        <w:t>被提升结构提升点的位置应与提升点在同一铅垂线上，水平偏差不应大于提升高度的1/1000,且不应大于50mm。</w:t>
      </w:r>
      <w:r>
        <w:rPr>
          <w:rFonts w:ascii="宋体" w:eastAsia="宋体" w:hAnsi="宋体" w:cs="宋体" w:hint="eastAsia"/>
          <w:sz w:val="24"/>
          <w:szCs w:val="24"/>
        </w:rPr>
        <w:t xml:space="preserve"> </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提升点的连接构造和结构调整、加固的部位应按设计要求检查验收。</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被提升工程结构的组装与拼装应满足现行国家标准《钢结构工程施工质量验收规范》GB50205及结构设计的相关规定</w:t>
      </w:r>
      <w:r>
        <w:rPr>
          <w:rFonts w:ascii="宋体" w:eastAsia="宋体" w:hAnsi="宋体" w:cs="宋体"/>
          <w:sz w:val="24"/>
          <w:szCs w:val="24"/>
        </w:rPr>
        <w:t>。</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提升支承结构的组装与拼装应满足现行国家标准《钢结构工程施工质量验收规范》GB50205及结构设计的相关规定。</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提升支承结构基础</w:t>
      </w:r>
      <w:r w:rsidRPr="00AF7005">
        <w:rPr>
          <w:rFonts w:ascii="宋体" w:eastAsia="宋体" w:hAnsi="宋体" w:cs="宋体" w:hint="eastAsia"/>
          <w:sz w:val="24"/>
          <w:szCs w:val="24"/>
        </w:rPr>
        <w:t>验收应符合现行国家标准《重型结构和设备整体提升技术规范》GB 51162的相关规定。</w:t>
      </w:r>
    </w:p>
    <w:p w:rsidR="00D01471" w:rsidRDefault="00D01471" w:rsidP="00D01471">
      <w:pPr>
        <w:spacing w:line="360" w:lineRule="auto"/>
        <w:jc w:val="left"/>
        <w:rPr>
          <w:rFonts w:ascii="宋体" w:eastAsia="宋体" w:hAnsi="宋体" w:cs="宋体"/>
          <w:sz w:val="24"/>
          <w:szCs w:val="24"/>
        </w:rPr>
      </w:pPr>
    </w:p>
    <w:p w:rsidR="00D01471" w:rsidRPr="00D01471" w:rsidRDefault="00D01471" w:rsidP="00D01471">
      <w:pPr>
        <w:spacing w:line="360" w:lineRule="auto"/>
        <w:jc w:val="left"/>
        <w:rPr>
          <w:rFonts w:ascii="宋体" w:eastAsia="宋体" w:hAnsi="宋体" w:cs="宋体"/>
          <w:sz w:val="24"/>
          <w:szCs w:val="24"/>
        </w:rPr>
      </w:pPr>
    </w:p>
    <w:p w:rsidR="00BA6061" w:rsidRDefault="00610DB9">
      <w:pPr>
        <w:pStyle w:val="2"/>
        <w:keepNext w:val="0"/>
        <w:keepLines w:val="0"/>
        <w:numPr>
          <w:ilvl w:val="1"/>
          <w:numId w:val="1"/>
        </w:numPr>
        <w:spacing w:before="312" w:after="312" w:line="360" w:lineRule="auto"/>
        <w:ind w:left="0" w:firstLine="560"/>
        <w:jc w:val="center"/>
        <w:rPr>
          <w:rFonts w:ascii="黑体" w:hAnsi="黑体" w:cs="黑体"/>
          <w:b w:val="0"/>
          <w:kern w:val="44"/>
          <w:sz w:val="28"/>
          <w:szCs w:val="28"/>
        </w:rPr>
      </w:pPr>
      <w:bookmarkStart w:id="93" w:name="_Toc223533702"/>
      <w:bookmarkStart w:id="94" w:name="_Toc224026622"/>
      <w:r>
        <w:rPr>
          <w:rFonts w:ascii="黑体" w:hAnsi="黑体" w:cs="黑体" w:hint="eastAsia"/>
          <w:b w:val="0"/>
          <w:kern w:val="44"/>
          <w:sz w:val="28"/>
          <w:szCs w:val="28"/>
        </w:rPr>
        <w:t>同步滑移质量检验</w:t>
      </w:r>
      <w:bookmarkEnd w:id="93"/>
      <w:bookmarkEnd w:id="94"/>
    </w:p>
    <w:p w:rsidR="00BA6061" w:rsidRDefault="00BA6061">
      <w:pPr>
        <w:pStyle w:val="ad"/>
        <w:numPr>
          <w:ilvl w:val="1"/>
          <w:numId w:val="3"/>
        </w:numPr>
        <w:spacing w:line="360" w:lineRule="auto"/>
        <w:ind w:firstLineChars="0"/>
        <w:jc w:val="left"/>
        <w:rPr>
          <w:rFonts w:ascii="宋体" w:eastAsia="宋体" w:hAnsi="宋体" w:cs="宋体"/>
          <w:vanish/>
          <w:sz w:val="24"/>
          <w:szCs w:val="24"/>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滑移施工前，应对滑移支架、滑移轨道、结构单元进行质量验收。</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w:t>
      </w:r>
      <w:proofErr w:type="gramStart"/>
      <w:r>
        <w:rPr>
          <w:rFonts w:ascii="宋体" w:eastAsia="宋体" w:hAnsi="宋体" w:cs="宋体" w:hint="eastAsia"/>
          <w:sz w:val="24"/>
          <w:szCs w:val="24"/>
        </w:rPr>
        <w:t>当结构</w:t>
      </w:r>
      <w:proofErr w:type="gramEnd"/>
      <w:r>
        <w:rPr>
          <w:rFonts w:ascii="宋体" w:eastAsia="宋体" w:hAnsi="宋体" w:cs="宋体" w:hint="eastAsia"/>
          <w:sz w:val="24"/>
          <w:szCs w:val="24"/>
        </w:rPr>
        <w:t>划分单元长度不大于20m时，拼接长度允许误差为±10mm，</w:t>
      </w:r>
      <w:proofErr w:type="gramStart"/>
      <w:r>
        <w:rPr>
          <w:rFonts w:ascii="宋体" w:eastAsia="宋体" w:hAnsi="宋体" w:cs="宋体" w:hint="eastAsia"/>
          <w:sz w:val="24"/>
          <w:szCs w:val="24"/>
        </w:rPr>
        <w:t>当结构</w:t>
      </w:r>
      <w:proofErr w:type="gramEnd"/>
      <w:r>
        <w:rPr>
          <w:rFonts w:ascii="宋体" w:eastAsia="宋体" w:hAnsi="宋体" w:cs="宋体" w:hint="eastAsia"/>
          <w:sz w:val="24"/>
          <w:szCs w:val="24"/>
        </w:rPr>
        <w:t>划分单元长度大于20m时，拼接长度允许偏差为±20mm。</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每12m长轨道的垂直方向的弯曲矢高不宜大于8mm；每12m长轨道的中心线定位偏差不应大于5mm，滑移限位偏差不应大于10mm。</w:t>
      </w:r>
    </w:p>
    <w:p w:rsidR="00BA6061" w:rsidRPr="00AF7005" w:rsidRDefault="00610DB9">
      <w:pPr>
        <w:pStyle w:val="ad"/>
        <w:numPr>
          <w:ilvl w:val="2"/>
          <w:numId w:val="3"/>
        </w:numPr>
        <w:spacing w:line="360" w:lineRule="auto"/>
        <w:ind w:left="0" w:firstLineChars="0" w:firstLine="0"/>
        <w:jc w:val="left"/>
        <w:rPr>
          <w:rFonts w:ascii="宋体" w:eastAsia="宋体" w:hAnsi="宋体" w:cs="宋体"/>
          <w:sz w:val="24"/>
          <w:szCs w:val="24"/>
        </w:rPr>
      </w:pPr>
      <w:r w:rsidRPr="00AF7005">
        <w:rPr>
          <w:rFonts w:ascii="宋体" w:eastAsia="宋体" w:hAnsi="宋体" w:cs="宋体" w:hint="eastAsia"/>
          <w:sz w:val="24"/>
          <w:szCs w:val="24"/>
        </w:rPr>
        <w:t xml:space="preserve"> 滑移施工前，应分别对液压顶推滑移系统的液压顶推器、液压泵源系统、计算机控制系统进行质量验收。</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w:t>
      </w:r>
      <w:r>
        <w:rPr>
          <w:rFonts w:ascii="宋体" w:eastAsia="宋体" w:hAnsi="宋体" w:cs="宋体"/>
          <w:sz w:val="24"/>
          <w:szCs w:val="24"/>
        </w:rPr>
        <w:t>滑移轨道安装检验应符合表</w:t>
      </w:r>
      <w:r>
        <w:rPr>
          <w:rFonts w:ascii="宋体" w:eastAsia="宋体" w:hAnsi="宋体" w:cs="宋体" w:hint="eastAsia"/>
          <w:sz w:val="24"/>
          <w:szCs w:val="24"/>
        </w:rPr>
        <w:t>9.3.5</w:t>
      </w:r>
      <w:r>
        <w:rPr>
          <w:rFonts w:ascii="宋体" w:eastAsia="宋体" w:hAnsi="宋体" w:cs="宋体"/>
          <w:sz w:val="24"/>
          <w:szCs w:val="24"/>
        </w:rPr>
        <w:t>的规定。</w:t>
      </w:r>
    </w:p>
    <w:p w:rsidR="00BA6061" w:rsidRDefault="00610DB9">
      <w:pPr>
        <w:pStyle w:val="ad"/>
        <w:spacing w:line="360" w:lineRule="auto"/>
        <w:ind w:firstLineChars="0" w:firstLine="0"/>
        <w:jc w:val="center"/>
        <w:rPr>
          <w:rFonts w:ascii="宋体" w:eastAsia="宋体" w:hAnsi="宋体" w:cs="宋体"/>
          <w:sz w:val="24"/>
          <w:szCs w:val="24"/>
        </w:rPr>
      </w:pPr>
      <w:r>
        <w:rPr>
          <w:rStyle w:val="ae"/>
          <w:rFonts w:ascii="黑体" w:hAnsi="黑体"/>
          <w:kern w:val="0"/>
          <w:szCs w:val="21"/>
        </w:rPr>
        <w:t>表</w:t>
      </w:r>
      <w:r>
        <w:rPr>
          <w:rStyle w:val="ae"/>
          <w:rFonts w:ascii="黑体" w:hAnsi="黑体" w:hint="eastAsia"/>
          <w:kern w:val="0"/>
          <w:szCs w:val="21"/>
        </w:rPr>
        <w:t>9.3.5</w:t>
      </w:r>
      <w:r>
        <w:rPr>
          <w:rStyle w:val="ae"/>
          <w:rFonts w:ascii="黑体" w:hAnsi="黑体"/>
          <w:kern w:val="0"/>
          <w:szCs w:val="21"/>
        </w:rPr>
        <w:t xml:space="preserve"> </w:t>
      </w:r>
      <w:r>
        <w:rPr>
          <w:rStyle w:val="ae"/>
          <w:rFonts w:ascii="黑体" w:hAnsi="黑体" w:hint="eastAsia"/>
          <w:kern w:val="0"/>
          <w:szCs w:val="21"/>
        </w:rPr>
        <w:t xml:space="preserve"> </w:t>
      </w:r>
      <w:r>
        <w:rPr>
          <w:rStyle w:val="ae"/>
          <w:rFonts w:ascii="黑体" w:hAnsi="黑体"/>
          <w:kern w:val="0"/>
          <w:szCs w:val="21"/>
        </w:rPr>
        <w:t>滑轨安装允许偏差</w:t>
      </w:r>
    </w:p>
    <w:tbl>
      <w:tblPr>
        <w:tblW w:w="501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446"/>
        <w:gridCol w:w="3917"/>
      </w:tblGrid>
      <w:tr w:rsidR="00BA6061">
        <w:trPr>
          <w:trHeight w:val="57"/>
          <w:tblHeader/>
        </w:trPr>
        <w:tc>
          <w:tcPr>
            <w:tcW w:w="2657" w:type="pct"/>
            <w:tcBorders>
              <w:top w:val="single" w:sz="12" w:space="0" w:color="000000"/>
              <w:left w:val="single" w:sz="12" w:space="0" w:color="000000"/>
              <w:bottom w:val="single" w:sz="4" w:space="0" w:color="000000"/>
              <w:right w:val="single" w:sz="4" w:space="0" w:color="000000"/>
              <w:tl2br w:val="nil"/>
            </w:tcBorders>
            <w:shd w:val="clear" w:color="auto" w:fill="FFFFFF"/>
            <w:vAlign w:val="center"/>
          </w:tcPr>
          <w:p w:rsidR="00BA6061" w:rsidRDefault="00610DB9">
            <w:pPr>
              <w:ind w:firstLine="422"/>
              <w:jc w:val="center"/>
              <w:rPr>
                <w:rFonts w:ascii="宋体" w:hAnsi="宋体" w:cs="宋体"/>
                <w:b/>
                <w:kern w:val="0"/>
                <w:szCs w:val="21"/>
              </w:rPr>
            </w:pPr>
            <w:r>
              <w:rPr>
                <w:rFonts w:ascii="宋体" w:hAnsi="宋体" w:cs="宋体" w:hint="eastAsia"/>
                <w:b/>
                <w:kern w:val="0"/>
                <w:szCs w:val="21"/>
              </w:rPr>
              <w:t>检查</w:t>
            </w:r>
            <w:r>
              <w:rPr>
                <w:rFonts w:ascii="宋体" w:hAnsi="宋体" w:cs="宋体"/>
                <w:b/>
                <w:kern w:val="0"/>
                <w:szCs w:val="21"/>
              </w:rPr>
              <w:t>项目</w:t>
            </w:r>
          </w:p>
        </w:tc>
        <w:tc>
          <w:tcPr>
            <w:tcW w:w="2342" w:type="pct"/>
            <w:tcBorders>
              <w:top w:val="single" w:sz="12" w:space="0" w:color="000000"/>
              <w:left w:val="single" w:sz="4" w:space="0" w:color="000000"/>
              <w:bottom w:val="single" w:sz="4" w:space="0" w:color="000000"/>
              <w:right w:val="single" w:sz="12" w:space="0" w:color="000000"/>
            </w:tcBorders>
            <w:shd w:val="clear" w:color="auto" w:fill="FFFFFF"/>
            <w:vAlign w:val="center"/>
          </w:tcPr>
          <w:p w:rsidR="00BA6061" w:rsidRDefault="00610DB9">
            <w:pPr>
              <w:ind w:firstLine="422"/>
              <w:jc w:val="center"/>
              <w:rPr>
                <w:rFonts w:ascii="宋体" w:hAnsi="宋体" w:cs="宋体"/>
                <w:b/>
                <w:kern w:val="0"/>
                <w:szCs w:val="21"/>
              </w:rPr>
            </w:pPr>
            <w:r>
              <w:rPr>
                <w:rFonts w:ascii="宋体" w:hAnsi="宋体" w:cs="宋体"/>
                <w:b/>
                <w:kern w:val="0"/>
                <w:szCs w:val="21"/>
              </w:rPr>
              <w:t>允许值</w:t>
            </w:r>
          </w:p>
        </w:tc>
      </w:tr>
      <w:tr w:rsidR="00BA6061">
        <w:trPr>
          <w:trHeight w:val="57"/>
        </w:trPr>
        <w:tc>
          <w:tcPr>
            <w:tcW w:w="2657" w:type="pct"/>
            <w:tcBorders>
              <w:top w:val="single" w:sz="4" w:space="0" w:color="000000"/>
              <w:left w:val="single" w:sz="12" w:space="0" w:color="000000"/>
              <w:bottom w:val="single" w:sz="4" w:space="0" w:color="000000"/>
              <w:right w:val="single" w:sz="4" w:space="0" w:color="000000"/>
            </w:tcBorders>
            <w:shd w:val="clear" w:color="auto" w:fill="FFFFFF"/>
            <w:vAlign w:val="center"/>
          </w:tcPr>
          <w:p w:rsidR="00BA6061" w:rsidRDefault="00610DB9">
            <w:pPr>
              <w:ind w:firstLine="420"/>
              <w:jc w:val="center"/>
              <w:rPr>
                <w:rFonts w:ascii="宋体" w:hAnsi="宋体" w:cs="宋体"/>
                <w:bCs/>
                <w:kern w:val="0"/>
                <w:szCs w:val="21"/>
              </w:rPr>
            </w:pPr>
            <w:r>
              <w:rPr>
                <w:rFonts w:ascii="宋体" w:hAnsi="宋体" w:cs="宋体"/>
                <w:bCs/>
                <w:kern w:val="0"/>
                <w:szCs w:val="21"/>
              </w:rPr>
              <w:t>直线度偏差</w:t>
            </w:r>
          </w:p>
        </w:tc>
        <w:tc>
          <w:tcPr>
            <w:tcW w:w="2342" w:type="pct"/>
            <w:tcBorders>
              <w:top w:val="single" w:sz="4" w:space="0" w:color="000000"/>
              <w:left w:val="single" w:sz="4" w:space="0" w:color="000000"/>
              <w:bottom w:val="single" w:sz="4" w:space="0" w:color="000000"/>
              <w:right w:val="single" w:sz="12" w:space="0" w:color="000000"/>
            </w:tcBorders>
            <w:shd w:val="clear" w:color="auto" w:fill="FFFFFF"/>
            <w:vAlign w:val="center"/>
          </w:tcPr>
          <w:p w:rsidR="00BA6061" w:rsidRDefault="00610DB9">
            <w:pPr>
              <w:ind w:firstLine="420"/>
              <w:jc w:val="center"/>
              <w:rPr>
                <w:rFonts w:ascii="宋体" w:hAnsi="宋体" w:cs="宋体"/>
                <w:bCs/>
                <w:kern w:val="0"/>
                <w:szCs w:val="21"/>
              </w:rPr>
            </w:pPr>
            <w:r>
              <w:rPr>
                <w:rFonts w:ascii="宋体" w:hAnsi="宋体" w:cs="宋体"/>
                <w:bCs/>
                <w:kern w:val="0"/>
                <w:szCs w:val="21"/>
              </w:rPr>
              <w:t>1mm/m</w:t>
            </w:r>
          </w:p>
        </w:tc>
      </w:tr>
      <w:tr w:rsidR="00BA6061">
        <w:trPr>
          <w:trHeight w:val="57"/>
        </w:trPr>
        <w:tc>
          <w:tcPr>
            <w:tcW w:w="2657" w:type="pct"/>
            <w:tcBorders>
              <w:top w:val="single" w:sz="4" w:space="0" w:color="000000"/>
              <w:left w:val="single" w:sz="12" w:space="0" w:color="000000"/>
              <w:bottom w:val="single" w:sz="4" w:space="0" w:color="000000"/>
              <w:right w:val="single" w:sz="4" w:space="0" w:color="000000"/>
            </w:tcBorders>
            <w:shd w:val="clear" w:color="auto" w:fill="FFFFFF"/>
            <w:vAlign w:val="center"/>
          </w:tcPr>
          <w:p w:rsidR="00BA6061" w:rsidRDefault="00610DB9">
            <w:pPr>
              <w:ind w:firstLine="420"/>
              <w:jc w:val="center"/>
              <w:rPr>
                <w:rFonts w:ascii="宋体" w:hAnsi="宋体" w:cs="宋体"/>
                <w:bCs/>
                <w:kern w:val="0"/>
                <w:szCs w:val="21"/>
              </w:rPr>
            </w:pPr>
            <w:r>
              <w:rPr>
                <w:rFonts w:ascii="宋体" w:hAnsi="宋体" w:cs="宋体"/>
                <w:bCs/>
                <w:kern w:val="0"/>
                <w:szCs w:val="21"/>
              </w:rPr>
              <w:t>轴线偏差</w:t>
            </w:r>
          </w:p>
        </w:tc>
        <w:tc>
          <w:tcPr>
            <w:tcW w:w="2342" w:type="pct"/>
            <w:tcBorders>
              <w:top w:val="single" w:sz="4" w:space="0" w:color="000000"/>
              <w:left w:val="single" w:sz="4" w:space="0" w:color="000000"/>
              <w:bottom w:val="single" w:sz="4" w:space="0" w:color="000000"/>
              <w:right w:val="single" w:sz="12" w:space="0" w:color="000000"/>
            </w:tcBorders>
            <w:shd w:val="clear" w:color="auto" w:fill="FFFFFF"/>
            <w:vAlign w:val="center"/>
          </w:tcPr>
          <w:p w:rsidR="00BA6061" w:rsidRDefault="00610DB9">
            <w:pPr>
              <w:ind w:firstLine="420"/>
              <w:jc w:val="center"/>
              <w:rPr>
                <w:rFonts w:ascii="宋体" w:hAnsi="宋体" w:cs="宋体"/>
                <w:bCs/>
                <w:kern w:val="0"/>
                <w:szCs w:val="21"/>
              </w:rPr>
            </w:pPr>
            <w:r>
              <w:rPr>
                <w:rFonts w:ascii="宋体" w:hAnsi="宋体" w:cs="宋体"/>
                <w:bCs/>
                <w:kern w:val="0"/>
                <w:szCs w:val="21"/>
              </w:rPr>
              <w:t>5mm</w:t>
            </w:r>
          </w:p>
        </w:tc>
      </w:tr>
      <w:tr w:rsidR="00BA6061">
        <w:trPr>
          <w:trHeight w:val="57"/>
        </w:trPr>
        <w:tc>
          <w:tcPr>
            <w:tcW w:w="2657" w:type="pct"/>
            <w:tcBorders>
              <w:top w:val="single" w:sz="4" w:space="0" w:color="000000"/>
              <w:left w:val="single" w:sz="12" w:space="0" w:color="000000"/>
              <w:bottom w:val="single" w:sz="4" w:space="0" w:color="000000"/>
              <w:right w:val="single" w:sz="4" w:space="0" w:color="000000"/>
            </w:tcBorders>
            <w:shd w:val="clear" w:color="auto" w:fill="FFFFFF"/>
            <w:vAlign w:val="center"/>
          </w:tcPr>
          <w:p w:rsidR="00BA6061" w:rsidRDefault="00610DB9">
            <w:pPr>
              <w:ind w:firstLine="420"/>
              <w:jc w:val="center"/>
              <w:rPr>
                <w:rFonts w:ascii="宋体" w:hAnsi="宋体" w:cs="宋体"/>
                <w:bCs/>
                <w:kern w:val="0"/>
                <w:szCs w:val="21"/>
              </w:rPr>
            </w:pPr>
            <w:r>
              <w:rPr>
                <w:rFonts w:ascii="宋体" w:hAnsi="宋体" w:cs="宋体"/>
                <w:bCs/>
                <w:kern w:val="0"/>
                <w:szCs w:val="21"/>
              </w:rPr>
              <w:t>同一条轨道</w:t>
            </w:r>
            <w:proofErr w:type="gramStart"/>
            <w:r>
              <w:rPr>
                <w:rFonts w:ascii="宋体" w:hAnsi="宋体" w:cs="宋体"/>
                <w:bCs/>
                <w:kern w:val="0"/>
                <w:szCs w:val="21"/>
              </w:rPr>
              <w:t>轨</w:t>
            </w:r>
            <w:proofErr w:type="gramEnd"/>
            <w:r>
              <w:rPr>
                <w:rFonts w:ascii="宋体" w:hAnsi="宋体" w:cs="宋体"/>
                <w:bCs/>
                <w:kern w:val="0"/>
                <w:szCs w:val="21"/>
              </w:rPr>
              <w:t>顶高差</w:t>
            </w:r>
          </w:p>
        </w:tc>
        <w:tc>
          <w:tcPr>
            <w:tcW w:w="2342" w:type="pct"/>
            <w:tcBorders>
              <w:top w:val="single" w:sz="4" w:space="0" w:color="000000"/>
              <w:left w:val="single" w:sz="4" w:space="0" w:color="000000"/>
              <w:bottom w:val="single" w:sz="4" w:space="0" w:color="000000"/>
              <w:right w:val="single" w:sz="12" w:space="0" w:color="000000"/>
            </w:tcBorders>
            <w:shd w:val="clear" w:color="auto" w:fill="FFFFFF"/>
            <w:vAlign w:val="center"/>
          </w:tcPr>
          <w:p w:rsidR="00BA6061" w:rsidRDefault="00610DB9">
            <w:pPr>
              <w:ind w:firstLine="420"/>
              <w:jc w:val="center"/>
              <w:rPr>
                <w:rFonts w:ascii="宋体" w:hAnsi="宋体" w:cs="宋体"/>
                <w:bCs/>
                <w:kern w:val="0"/>
                <w:szCs w:val="21"/>
              </w:rPr>
            </w:pPr>
            <w:r>
              <w:rPr>
                <w:rFonts w:ascii="宋体" w:hAnsi="宋体" w:cs="宋体"/>
                <w:bCs/>
                <w:kern w:val="0"/>
                <w:szCs w:val="21"/>
              </w:rPr>
              <w:t>1mm/m</w:t>
            </w:r>
          </w:p>
        </w:tc>
      </w:tr>
      <w:tr w:rsidR="00BA6061">
        <w:trPr>
          <w:trHeight w:val="57"/>
        </w:trPr>
        <w:tc>
          <w:tcPr>
            <w:tcW w:w="2657" w:type="pct"/>
            <w:tcBorders>
              <w:top w:val="single" w:sz="4" w:space="0" w:color="000000"/>
              <w:left w:val="single" w:sz="12" w:space="0" w:color="000000"/>
              <w:bottom w:val="single" w:sz="4" w:space="0" w:color="000000"/>
              <w:right w:val="single" w:sz="4" w:space="0" w:color="000000"/>
            </w:tcBorders>
            <w:shd w:val="clear" w:color="auto" w:fill="FFFFFF"/>
            <w:vAlign w:val="center"/>
          </w:tcPr>
          <w:p w:rsidR="00BA6061" w:rsidRDefault="00610DB9">
            <w:pPr>
              <w:ind w:firstLine="420"/>
              <w:jc w:val="center"/>
              <w:rPr>
                <w:rFonts w:ascii="宋体" w:hAnsi="宋体" w:cs="宋体"/>
                <w:bCs/>
                <w:kern w:val="0"/>
                <w:szCs w:val="21"/>
              </w:rPr>
            </w:pPr>
            <w:r>
              <w:rPr>
                <w:rFonts w:ascii="宋体" w:hAnsi="宋体" w:cs="宋体"/>
                <w:bCs/>
                <w:kern w:val="0"/>
                <w:szCs w:val="21"/>
              </w:rPr>
              <w:t>轨道接头处水平偏差</w:t>
            </w:r>
          </w:p>
        </w:tc>
        <w:tc>
          <w:tcPr>
            <w:tcW w:w="2342" w:type="pct"/>
            <w:tcBorders>
              <w:top w:val="single" w:sz="4" w:space="0" w:color="000000"/>
              <w:left w:val="single" w:sz="4" w:space="0" w:color="000000"/>
              <w:bottom w:val="single" w:sz="4" w:space="0" w:color="000000"/>
              <w:right w:val="single" w:sz="12" w:space="0" w:color="000000"/>
            </w:tcBorders>
            <w:shd w:val="clear" w:color="auto" w:fill="FFFFFF"/>
            <w:vAlign w:val="center"/>
          </w:tcPr>
          <w:p w:rsidR="00BA6061" w:rsidRDefault="00610DB9">
            <w:pPr>
              <w:ind w:firstLine="420"/>
              <w:jc w:val="center"/>
              <w:rPr>
                <w:rFonts w:ascii="宋体" w:hAnsi="宋体" w:cs="宋体"/>
                <w:bCs/>
                <w:kern w:val="0"/>
                <w:szCs w:val="21"/>
              </w:rPr>
            </w:pPr>
            <w:r>
              <w:rPr>
                <w:rFonts w:ascii="宋体" w:hAnsi="宋体" w:cs="宋体"/>
                <w:bCs/>
                <w:kern w:val="0"/>
                <w:szCs w:val="21"/>
              </w:rPr>
              <w:t>1mm</w:t>
            </w:r>
          </w:p>
        </w:tc>
      </w:tr>
      <w:tr w:rsidR="00BA6061">
        <w:trPr>
          <w:trHeight w:val="57"/>
        </w:trPr>
        <w:tc>
          <w:tcPr>
            <w:tcW w:w="2657" w:type="pct"/>
            <w:tcBorders>
              <w:top w:val="single" w:sz="4" w:space="0" w:color="000000"/>
              <w:left w:val="single" w:sz="12" w:space="0" w:color="000000"/>
              <w:bottom w:val="single" w:sz="12" w:space="0" w:color="000000"/>
              <w:right w:val="single" w:sz="4" w:space="0" w:color="000000"/>
            </w:tcBorders>
            <w:shd w:val="clear" w:color="auto" w:fill="FFFFFF"/>
            <w:vAlign w:val="center"/>
          </w:tcPr>
          <w:p w:rsidR="00BA6061" w:rsidRDefault="00610DB9">
            <w:pPr>
              <w:ind w:firstLine="420"/>
              <w:jc w:val="center"/>
              <w:rPr>
                <w:rFonts w:ascii="宋体" w:hAnsi="宋体" w:cs="宋体"/>
                <w:bCs/>
                <w:kern w:val="0"/>
                <w:szCs w:val="21"/>
              </w:rPr>
            </w:pPr>
            <w:r>
              <w:rPr>
                <w:rFonts w:ascii="宋体" w:hAnsi="宋体" w:cs="宋体"/>
                <w:bCs/>
                <w:kern w:val="0"/>
                <w:szCs w:val="21"/>
              </w:rPr>
              <w:t>轨道接头处轨道面高差</w:t>
            </w:r>
          </w:p>
        </w:tc>
        <w:tc>
          <w:tcPr>
            <w:tcW w:w="2342" w:type="pct"/>
            <w:tcBorders>
              <w:top w:val="single" w:sz="4" w:space="0" w:color="000000"/>
              <w:left w:val="single" w:sz="4" w:space="0" w:color="000000"/>
              <w:bottom w:val="single" w:sz="12" w:space="0" w:color="000000"/>
              <w:right w:val="single" w:sz="12" w:space="0" w:color="000000"/>
            </w:tcBorders>
            <w:shd w:val="clear" w:color="auto" w:fill="FFFFFF"/>
            <w:vAlign w:val="center"/>
          </w:tcPr>
          <w:p w:rsidR="00BA6061" w:rsidRDefault="00610DB9">
            <w:pPr>
              <w:ind w:firstLine="420"/>
              <w:jc w:val="center"/>
              <w:rPr>
                <w:rFonts w:ascii="宋体" w:hAnsi="宋体" w:cs="宋体"/>
                <w:bCs/>
                <w:kern w:val="0"/>
                <w:szCs w:val="21"/>
              </w:rPr>
            </w:pPr>
            <w:r>
              <w:rPr>
                <w:rFonts w:ascii="宋体" w:hAnsi="宋体" w:cs="宋体"/>
                <w:bCs/>
                <w:kern w:val="0"/>
                <w:szCs w:val="21"/>
              </w:rPr>
              <w:t>1mm</w:t>
            </w:r>
          </w:p>
        </w:tc>
      </w:tr>
    </w:tbl>
    <w:p w:rsidR="00BA6061" w:rsidRDefault="00BA6061">
      <w:pPr>
        <w:tabs>
          <w:tab w:val="left" w:pos="0"/>
        </w:tabs>
        <w:spacing w:line="360" w:lineRule="auto"/>
        <w:jc w:val="left"/>
        <w:rPr>
          <w:rFonts w:ascii="宋体" w:eastAsia="宋体" w:hAnsi="宋体" w:cs="宋体"/>
          <w:bCs/>
          <w:sz w:val="24"/>
          <w:szCs w:val="24"/>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w:t>
      </w:r>
      <w:r>
        <w:rPr>
          <w:rFonts w:ascii="宋体" w:eastAsia="宋体" w:hAnsi="宋体" w:cs="宋体"/>
          <w:sz w:val="24"/>
          <w:szCs w:val="24"/>
        </w:rPr>
        <w:t>滑移轨道压板预埋件的安装精度应符合表</w:t>
      </w:r>
      <w:r>
        <w:rPr>
          <w:rFonts w:ascii="宋体" w:eastAsia="宋体" w:hAnsi="宋体" w:cs="宋体" w:hint="eastAsia"/>
          <w:sz w:val="24"/>
          <w:szCs w:val="24"/>
        </w:rPr>
        <w:t>9.3.6</w:t>
      </w:r>
      <w:r>
        <w:rPr>
          <w:rFonts w:ascii="宋体" w:eastAsia="宋体" w:hAnsi="宋体" w:cs="宋体"/>
          <w:sz w:val="24"/>
          <w:szCs w:val="24"/>
        </w:rPr>
        <w:t>的规定。</w:t>
      </w:r>
    </w:p>
    <w:p w:rsidR="00BA6061" w:rsidRDefault="00610DB9">
      <w:pPr>
        <w:ind w:firstLine="360"/>
        <w:jc w:val="center"/>
        <w:rPr>
          <w:rStyle w:val="ae"/>
          <w:rFonts w:ascii="黑体" w:hAnsi="黑体"/>
          <w:kern w:val="0"/>
          <w:szCs w:val="21"/>
        </w:rPr>
      </w:pPr>
      <w:r>
        <w:rPr>
          <w:rStyle w:val="ae"/>
          <w:rFonts w:ascii="黑体" w:hAnsi="黑体"/>
          <w:kern w:val="0"/>
          <w:szCs w:val="21"/>
        </w:rPr>
        <w:t>表</w:t>
      </w:r>
      <w:r>
        <w:rPr>
          <w:rStyle w:val="ae"/>
          <w:rFonts w:ascii="黑体" w:hAnsi="黑体" w:hint="eastAsia"/>
          <w:kern w:val="0"/>
          <w:szCs w:val="21"/>
        </w:rPr>
        <w:t>9.3.6</w:t>
      </w:r>
      <w:r>
        <w:rPr>
          <w:rStyle w:val="ae"/>
          <w:rFonts w:ascii="黑体" w:hAnsi="黑体"/>
          <w:kern w:val="0"/>
          <w:szCs w:val="21"/>
        </w:rPr>
        <w:t xml:space="preserve"> </w:t>
      </w:r>
      <w:r>
        <w:rPr>
          <w:rStyle w:val="ae"/>
          <w:rFonts w:ascii="黑体" w:hAnsi="黑体" w:hint="eastAsia"/>
          <w:kern w:val="0"/>
          <w:szCs w:val="21"/>
        </w:rPr>
        <w:t xml:space="preserve"> </w:t>
      </w:r>
      <w:r>
        <w:rPr>
          <w:rStyle w:val="ae"/>
          <w:rFonts w:ascii="黑体" w:hAnsi="黑体"/>
          <w:kern w:val="0"/>
          <w:szCs w:val="21"/>
        </w:rPr>
        <w:t>预埋件埋设允许偏差</w:t>
      </w:r>
    </w:p>
    <w:tbl>
      <w:tblPr>
        <w:tblW w:w="499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515"/>
        <w:gridCol w:w="3819"/>
      </w:tblGrid>
      <w:tr w:rsidR="00BA6061">
        <w:trPr>
          <w:trHeight w:val="23"/>
          <w:tblHeader/>
        </w:trPr>
        <w:tc>
          <w:tcPr>
            <w:tcW w:w="2708" w:type="pct"/>
            <w:tcBorders>
              <w:top w:val="single" w:sz="12" w:space="0" w:color="000000"/>
              <w:left w:val="single" w:sz="12" w:space="0" w:color="000000"/>
              <w:bottom w:val="single" w:sz="4" w:space="0" w:color="000000"/>
              <w:right w:val="single" w:sz="4" w:space="0" w:color="000000"/>
              <w:tl2br w:val="nil"/>
            </w:tcBorders>
            <w:shd w:val="clear" w:color="auto" w:fill="FFFFFF"/>
          </w:tcPr>
          <w:p w:rsidR="00BA6061" w:rsidRDefault="00610DB9">
            <w:pPr>
              <w:ind w:firstLine="422"/>
              <w:jc w:val="center"/>
              <w:rPr>
                <w:rFonts w:ascii="宋体" w:hAnsi="宋体" w:cs="宋体"/>
                <w:b/>
                <w:bCs/>
                <w:color w:val="000000"/>
                <w:kern w:val="0"/>
                <w:szCs w:val="21"/>
              </w:rPr>
            </w:pPr>
            <w:r>
              <w:rPr>
                <w:rFonts w:ascii="宋体" w:hAnsi="宋体" w:cs="宋体" w:hint="eastAsia"/>
                <w:b/>
                <w:bCs/>
                <w:color w:val="000000"/>
                <w:kern w:val="0"/>
                <w:szCs w:val="21"/>
              </w:rPr>
              <w:t>检查</w:t>
            </w:r>
            <w:r>
              <w:rPr>
                <w:rFonts w:ascii="宋体" w:hAnsi="宋体" w:cs="宋体"/>
                <w:b/>
                <w:bCs/>
                <w:color w:val="000000"/>
                <w:kern w:val="0"/>
                <w:szCs w:val="21"/>
              </w:rPr>
              <w:t>项目</w:t>
            </w:r>
          </w:p>
        </w:tc>
        <w:tc>
          <w:tcPr>
            <w:tcW w:w="2291" w:type="pct"/>
            <w:tcBorders>
              <w:top w:val="single" w:sz="12" w:space="0" w:color="000000"/>
              <w:left w:val="single" w:sz="4" w:space="0" w:color="000000"/>
              <w:bottom w:val="single" w:sz="4" w:space="0" w:color="000000"/>
              <w:right w:val="single" w:sz="12" w:space="0" w:color="000000"/>
            </w:tcBorders>
            <w:shd w:val="clear" w:color="auto" w:fill="FFFFFF"/>
          </w:tcPr>
          <w:p w:rsidR="00BA6061" w:rsidRDefault="00610DB9">
            <w:pPr>
              <w:ind w:firstLine="422"/>
              <w:jc w:val="center"/>
              <w:rPr>
                <w:rFonts w:ascii="宋体" w:hAnsi="宋体" w:cs="宋体"/>
                <w:b/>
                <w:bCs/>
                <w:color w:val="000000"/>
                <w:kern w:val="0"/>
                <w:szCs w:val="21"/>
              </w:rPr>
            </w:pPr>
            <w:r>
              <w:rPr>
                <w:rFonts w:ascii="宋体" w:hAnsi="宋体" w:cs="宋体"/>
                <w:b/>
                <w:bCs/>
                <w:color w:val="000000"/>
                <w:kern w:val="0"/>
                <w:szCs w:val="21"/>
              </w:rPr>
              <w:t>允许偏差</w:t>
            </w:r>
          </w:p>
        </w:tc>
      </w:tr>
      <w:tr w:rsidR="00BA6061">
        <w:trPr>
          <w:trHeight w:val="23"/>
        </w:trPr>
        <w:tc>
          <w:tcPr>
            <w:tcW w:w="2708" w:type="pct"/>
            <w:tcBorders>
              <w:top w:val="single" w:sz="4" w:space="0" w:color="000000"/>
              <w:left w:val="single" w:sz="12" w:space="0" w:color="000000"/>
              <w:bottom w:val="single" w:sz="4" w:space="0" w:color="000000"/>
              <w:right w:val="single" w:sz="4" w:space="0" w:color="000000"/>
            </w:tcBorders>
            <w:shd w:val="clear" w:color="auto" w:fill="FFFFFF"/>
          </w:tcPr>
          <w:p w:rsidR="00BA6061" w:rsidRDefault="00610DB9">
            <w:pPr>
              <w:ind w:firstLine="420"/>
              <w:jc w:val="center"/>
              <w:rPr>
                <w:rFonts w:ascii="宋体" w:hAnsi="宋体" w:cs="宋体"/>
                <w:bCs/>
                <w:color w:val="000000"/>
                <w:kern w:val="0"/>
                <w:szCs w:val="21"/>
              </w:rPr>
            </w:pPr>
            <w:r>
              <w:rPr>
                <w:rFonts w:ascii="宋体" w:hAnsi="宋体" w:cs="宋体"/>
                <w:bCs/>
                <w:color w:val="000000"/>
                <w:kern w:val="0"/>
                <w:szCs w:val="21"/>
              </w:rPr>
              <w:t>标高</w:t>
            </w:r>
          </w:p>
        </w:tc>
        <w:tc>
          <w:tcPr>
            <w:tcW w:w="2291" w:type="pct"/>
            <w:tcBorders>
              <w:top w:val="single" w:sz="4" w:space="0" w:color="000000"/>
              <w:left w:val="single" w:sz="4" w:space="0" w:color="000000"/>
              <w:bottom w:val="single" w:sz="4" w:space="0" w:color="000000"/>
              <w:right w:val="single" w:sz="12" w:space="0" w:color="000000"/>
            </w:tcBorders>
            <w:shd w:val="clear" w:color="auto" w:fill="FFFFFF"/>
          </w:tcPr>
          <w:p w:rsidR="00BA6061" w:rsidRDefault="00610DB9">
            <w:pPr>
              <w:ind w:firstLine="420"/>
              <w:jc w:val="center"/>
              <w:rPr>
                <w:rFonts w:ascii="宋体" w:hAnsi="宋体" w:cs="宋体"/>
                <w:bCs/>
                <w:color w:val="000000"/>
                <w:kern w:val="0"/>
                <w:szCs w:val="21"/>
              </w:rPr>
            </w:pPr>
            <w:r>
              <w:rPr>
                <w:rFonts w:ascii="宋体" w:hAnsi="宋体" w:cs="宋体"/>
                <w:bCs/>
                <w:color w:val="000000"/>
                <w:kern w:val="0"/>
                <w:szCs w:val="21"/>
              </w:rPr>
              <w:t>±3mm</w:t>
            </w:r>
          </w:p>
        </w:tc>
      </w:tr>
      <w:tr w:rsidR="00BA6061">
        <w:trPr>
          <w:trHeight w:val="23"/>
        </w:trPr>
        <w:tc>
          <w:tcPr>
            <w:tcW w:w="2708" w:type="pct"/>
            <w:tcBorders>
              <w:top w:val="single" w:sz="4" w:space="0" w:color="000000"/>
              <w:left w:val="single" w:sz="12" w:space="0" w:color="000000"/>
              <w:bottom w:val="single" w:sz="4" w:space="0" w:color="000000"/>
              <w:right w:val="single" w:sz="4" w:space="0" w:color="000000"/>
            </w:tcBorders>
            <w:shd w:val="clear" w:color="auto" w:fill="FFFFFF"/>
          </w:tcPr>
          <w:p w:rsidR="00BA6061" w:rsidRDefault="00610DB9">
            <w:pPr>
              <w:ind w:firstLine="420"/>
              <w:jc w:val="center"/>
              <w:rPr>
                <w:rFonts w:ascii="宋体" w:hAnsi="宋体" w:cs="宋体"/>
                <w:bCs/>
                <w:color w:val="000000"/>
                <w:kern w:val="0"/>
                <w:szCs w:val="21"/>
              </w:rPr>
            </w:pPr>
            <w:r>
              <w:rPr>
                <w:rFonts w:ascii="宋体" w:hAnsi="宋体" w:cs="宋体"/>
                <w:bCs/>
                <w:color w:val="000000"/>
                <w:kern w:val="0"/>
                <w:szCs w:val="21"/>
              </w:rPr>
              <w:t>水平度</w:t>
            </w:r>
          </w:p>
        </w:tc>
        <w:tc>
          <w:tcPr>
            <w:tcW w:w="2291" w:type="pct"/>
            <w:tcBorders>
              <w:top w:val="single" w:sz="4" w:space="0" w:color="000000"/>
              <w:left w:val="single" w:sz="4" w:space="0" w:color="000000"/>
              <w:bottom w:val="single" w:sz="4" w:space="0" w:color="000000"/>
              <w:right w:val="single" w:sz="12" w:space="0" w:color="000000"/>
            </w:tcBorders>
            <w:shd w:val="clear" w:color="auto" w:fill="FFFFFF"/>
          </w:tcPr>
          <w:p w:rsidR="00BA6061" w:rsidRDefault="00610DB9">
            <w:pPr>
              <w:ind w:firstLine="420"/>
              <w:jc w:val="center"/>
              <w:rPr>
                <w:rFonts w:ascii="宋体" w:hAnsi="宋体" w:cs="宋体"/>
                <w:bCs/>
                <w:color w:val="000000"/>
                <w:kern w:val="0"/>
                <w:szCs w:val="21"/>
              </w:rPr>
            </w:pPr>
            <w:r>
              <w:rPr>
                <w:rFonts w:ascii="宋体" w:hAnsi="宋体" w:cs="宋体"/>
                <w:bCs/>
                <w:color w:val="000000"/>
                <w:kern w:val="0"/>
                <w:szCs w:val="21"/>
              </w:rPr>
              <w:t>1/1000</w:t>
            </w:r>
          </w:p>
        </w:tc>
      </w:tr>
      <w:tr w:rsidR="00BA6061">
        <w:trPr>
          <w:trHeight w:val="23"/>
        </w:trPr>
        <w:tc>
          <w:tcPr>
            <w:tcW w:w="2708" w:type="pct"/>
            <w:tcBorders>
              <w:top w:val="single" w:sz="4" w:space="0" w:color="000000"/>
              <w:left w:val="single" w:sz="12" w:space="0" w:color="000000"/>
              <w:bottom w:val="single" w:sz="12" w:space="0" w:color="000000"/>
              <w:right w:val="single" w:sz="4" w:space="0" w:color="000000"/>
            </w:tcBorders>
            <w:shd w:val="clear" w:color="auto" w:fill="FFFFFF"/>
          </w:tcPr>
          <w:p w:rsidR="00BA6061" w:rsidRDefault="00610DB9">
            <w:pPr>
              <w:ind w:firstLine="420"/>
              <w:jc w:val="center"/>
              <w:rPr>
                <w:rFonts w:ascii="宋体" w:hAnsi="宋体" w:cs="宋体"/>
                <w:bCs/>
                <w:color w:val="000000"/>
                <w:kern w:val="0"/>
                <w:szCs w:val="21"/>
              </w:rPr>
            </w:pPr>
            <w:r>
              <w:rPr>
                <w:rFonts w:ascii="宋体" w:hAnsi="宋体" w:cs="宋体"/>
                <w:bCs/>
                <w:color w:val="000000"/>
                <w:kern w:val="0"/>
                <w:szCs w:val="21"/>
              </w:rPr>
              <w:t>轴线位置</w:t>
            </w:r>
          </w:p>
        </w:tc>
        <w:tc>
          <w:tcPr>
            <w:tcW w:w="2291" w:type="pct"/>
            <w:tcBorders>
              <w:top w:val="single" w:sz="4" w:space="0" w:color="000000"/>
              <w:left w:val="single" w:sz="4" w:space="0" w:color="000000"/>
              <w:bottom w:val="single" w:sz="12" w:space="0" w:color="000000"/>
              <w:right w:val="single" w:sz="12" w:space="0" w:color="000000"/>
            </w:tcBorders>
            <w:shd w:val="clear" w:color="auto" w:fill="FFFFFF"/>
          </w:tcPr>
          <w:p w:rsidR="00BA6061" w:rsidRDefault="00610DB9">
            <w:pPr>
              <w:ind w:firstLine="420"/>
              <w:jc w:val="center"/>
              <w:rPr>
                <w:rFonts w:ascii="宋体" w:hAnsi="宋体" w:cs="宋体"/>
                <w:bCs/>
                <w:color w:val="000000"/>
                <w:kern w:val="0"/>
                <w:szCs w:val="21"/>
              </w:rPr>
            </w:pPr>
            <w:r>
              <w:rPr>
                <w:rFonts w:ascii="宋体" w:hAnsi="宋体" w:cs="宋体"/>
                <w:bCs/>
                <w:color w:val="000000"/>
                <w:kern w:val="0"/>
                <w:szCs w:val="21"/>
              </w:rPr>
              <w:t>±10mm</w:t>
            </w:r>
          </w:p>
        </w:tc>
      </w:tr>
    </w:tbl>
    <w:p w:rsidR="00BA6061" w:rsidRDefault="00BA6061">
      <w:pPr>
        <w:spacing w:line="360" w:lineRule="auto"/>
        <w:jc w:val="left"/>
        <w:rPr>
          <w:rFonts w:ascii="宋体" w:eastAsia="宋体" w:hAnsi="宋体" w:cs="宋体"/>
          <w:bCs/>
          <w:sz w:val="24"/>
          <w:szCs w:val="24"/>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w:t>
      </w:r>
      <w:r>
        <w:rPr>
          <w:rFonts w:ascii="宋体" w:eastAsia="宋体" w:hAnsi="宋体" w:cs="宋体"/>
          <w:sz w:val="24"/>
          <w:szCs w:val="24"/>
        </w:rPr>
        <w:t>槽钢滑轨侧向挡板的安装精度应符合表</w:t>
      </w:r>
      <w:r>
        <w:rPr>
          <w:rFonts w:ascii="宋体" w:eastAsia="宋体" w:hAnsi="宋体" w:cs="宋体" w:hint="eastAsia"/>
          <w:sz w:val="24"/>
          <w:szCs w:val="24"/>
        </w:rPr>
        <w:t>9.3.7</w:t>
      </w:r>
      <w:r>
        <w:rPr>
          <w:rFonts w:ascii="宋体" w:eastAsia="宋体" w:hAnsi="宋体" w:cs="宋体"/>
          <w:sz w:val="24"/>
          <w:szCs w:val="24"/>
        </w:rPr>
        <w:t>的规定。</w:t>
      </w:r>
    </w:p>
    <w:p w:rsidR="00BA6061" w:rsidRDefault="00610DB9">
      <w:pPr>
        <w:ind w:firstLine="360"/>
        <w:jc w:val="center"/>
        <w:rPr>
          <w:rStyle w:val="ae"/>
          <w:rFonts w:ascii="黑体" w:hAnsi="黑体"/>
          <w:kern w:val="0"/>
          <w:szCs w:val="21"/>
        </w:rPr>
      </w:pPr>
      <w:r>
        <w:rPr>
          <w:rStyle w:val="ae"/>
          <w:rFonts w:ascii="黑体" w:hAnsi="黑体"/>
          <w:kern w:val="0"/>
          <w:szCs w:val="21"/>
        </w:rPr>
        <w:t>表</w:t>
      </w:r>
      <w:r>
        <w:rPr>
          <w:rStyle w:val="ae"/>
          <w:rFonts w:ascii="黑体" w:hAnsi="黑体" w:hint="eastAsia"/>
          <w:kern w:val="0"/>
          <w:szCs w:val="21"/>
        </w:rPr>
        <w:t xml:space="preserve">9.3.7 </w:t>
      </w:r>
      <w:r>
        <w:rPr>
          <w:rStyle w:val="ae"/>
          <w:rFonts w:ascii="黑体" w:hAnsi="黑体"/>
          <w:kern w:val="0"/>
          <w:szCs w:val="21"/>
        </w:rPr>
        <w:t xml:space="preserve"> 侧向挡板安装允许偏差</w:t>
      </w:r>
    </w:p>
    <w:tbl>
      <w:tblPr>
        <w:tblW w:w="503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5791"/>
        <w:gridCol w:w="2602"/>
      </w:tblGrid>
      <w:tr w:rsidR="00BA6061">
        <w:trPr>
          <w:trHeight w:val="170"/>
          <w:tblHeader/>
        </w:trPr>
        <w:tc>
          <w:tcPr>
            <w:tcW w:w="3449" w:type="pct"/>
            <w:tcBorders>
              <w:top w:val="single" w:sz="12" w:space="0" w:color="000000"/>
              <w:left w:val="single" w:sz="12" w:space="0" w:color="000000"/>
              <w:bottom w:val="single" w:sz="4" w:space="0" w:color="000000"/>
              <w:right w:val="single" w:sz="4" w:space="0" w:color="000000"/>
              <w:tl2br w:val="nil"/>
            </w:tcBorders>
            <w:shd w:val="clear" w:color="auto" w:fill="FFFFFF"/>
          </w:tcPr>
          <w:p w:rsidR="00BA6061" w:rsidRDefault="00610DB9">
            <w:pPr>
              <w:ind w:firstLine="422"/>
              <w:jc w:val="center"/>
              <w:rPr>
                <w:rFonts w:ascii="宋体" w:hAnsi="宋体" w:cs="宋体"/>
                <w:b/>
                <w:color w:val="000000"/>
                <w:kern w:val="0"/>
                <w:szCs w:val="21"/>
              </w:rPr>
            </w:pPr>
            <w:r>
              <w:rPr>
                <w:rFonts w:ascii="宋体" w:hAnsi="宋体" w:cs="宋体" w:hint="eastAsia"/>
                <w:b/>
                <w:color w:val="000000"/>
                <w:kern w:val="0"/>
                <w:szCs w:val="21"/>
              </w:rPr>
              <w:t>检查</w:t>
            </w:r>
            <w:r>
              <w:rPr>
                <w:rFonts w:ascii="宋体" w:hAnsi="宋体" w:cs="宋体"/>
                <w:b/>
                <w:color w:val="000000"/>
                <w:kern w:val="0"/>
                <w:szCs w:val="21"/>
              </w:rPr>
              <w:t>项目</w:t>
            </w:r>
          </w:p>
        </w:tc>
        <w:tc>
          <w:tcPr>
            <w:tcW w:w="1550" w:type="pct"/>
            <w:tcBorders>
              <w:top w:val="single" w:sz="12" w:space="0" w:color="000000"/>
              <w:left w:val="single" w:sz="4" w:space="0" w:color="000000"/>
              <w:bottom w:val="single" w:sz="4" w:space="0" w:color="000000"/>
              <w:right w:val="single" w:sz="12" w:space="0" w:color="000000"/>
            </w:tcBorders>
            <w:shd w:val="clear" w:color="auto" w:fill="FFFFFF"/>
          </w:tcPr>
          <w:p w:rsidR="00BA6061" w:rsidRDefault="00610DB9">
            <w:pPr>
              <w:ind w:firstLine="422"/>
              <w:jc w:val="center"/>
              <w:rPr>
                <w:rFonts w:ascii="宋体" w:hAnsi="宋体" w:cs="宋体"/>
                <w:b/>
                <w:color w:val="000000"/>
                <w:kern w:val="0"/>
                <w:szCs w:val="21"/>
              </w:rPr>
            </w:pPr>
            <w:r>
              <w:rPr>
                <w:rFonts w:ascii="宋体" w:hAnsi="宋体" w:cs="宋体"/>
                <w:b/>
                <w:color w:val="000000"/>
                <w:kern w:val="0"/>
                <w:szCs w:val="21"/>
              </w:rPr>
              <w:t>允许值</w:t>
            </w:r>
          </w:p>
        </w:tc>
      </w:tr>
      <w:tr w:rsidR="00BA6061">
        <w:trPr>
          <w:trHeight w:val="298"/>
        </w:trPr>
        <w:tc>
          <w:tcPr>
            <w:tcW w:w="3449" w:type="pct"/>
            <w:tcBorders>
              <w:top w:val="single" w:sz="4" w:space="0" w:color="000000"/>
              <w:left w:val="single" w:sz="12" w:space="0" w:color="000000"/>
              <w:bottom w:val="single" w:sz="4" w:space="0" w:color="000000"/>
              <w:right w:val="single" w:sz="4" w:space="0" w:color="000000"/>
            </w:tcBorders>
            <w:shd w:val="clear" w:color="auto" w:fill="FFFFFF"/>
          </w:tcPr>
          <w:p w:rsidR="00BA6061" w:rsidRDefault="00610DB9">
            <w:pPr>
              <w:ind w:firstLine="420"/>
              <w:jc w:val="center"/>
              <w:rPr>
                <w:rFonts w:ascii="宋体" w:hAnsi="宋体" w:cs="宋体"/>
                <w:bCs/>
                <w:color w:val="000000"/>
                <w:kern w:val="0"/>
                <w:szCs w:val="21"/>
              </w:rPr>
            </w:pPr>
            <w:r>
              <w:rPr>
                <w:rFonts w:ascii="宋体" w:hAnsi="宋体" w:cs="宋体"/>
                <w:bCs/>
                <w:color w:val="000000"/>
                <w:kern w:val="0"/>
                <w:szCs w:val="21"/>
              </w:rPr>
              <w:t>同一轨道相邻两块侧向挡板间距偏差</w:t>
            </w:r>
          </w:p>
        </w:tc>
        <w:tc>
          <w:tcPr>
            <w:tcW w:w="1550" w:type="pct"/>
            <w:tcBorders>
              <w:top w:val="single" w:sz="4" w:space="0" w:color="000000"/>
              <w:left w:val="single" w:sz="4" w:space="0" w:color="000000"/>
              <w:bottom w:val="single" w:sz="4" w:space="0" w:color="000000"/>
              <w:right w:val="single" w:sz="12" w:space="0" w:color="000000"/>
            </w:tcBorders>
            <w:shd w:val="clear" w:color="auto" w:fill="FFFFFF"/>
          </w:tcPr>
          <w:p w:rsidR="00BA6061" w:rsidRDefault="00610DB9">
            <w:pPr>
              <w:ind w:firstLine="420"/>
              <w:jc w:val="center"/>
              <w:rPr>
                <w:rFonts w:ascii="宋体" w:hAnsi="宋体" w:cs="宋体"/>
                <w:bCs/>
                <w:color w:val="000000"/>
                <w:kern w:val="0"/>
                <w:szCs w:val="21"/>
              </w:rPr>
            </w:pPr>
            <w:r>
              <w:rPr>
                <w:rFonts w:ascii="宋体" w:hAnsi="宋体" w:cs="宋体"/>
                <w:bCs/>
                <w:color w:val="000000"/>
                <w:kern w:val="0"/>
                <w:szCs w:val="21"/>
              </w:rPr>
              <w:t>±L/500</w:t>
            </w:r>
          </w:p>
        </w:tc>
      </w:tr>
      <w:tr w:rsidR="00BA6061">
        <w:trPr>
          <w:trHeight w:val="317"/>
        </w:trPr>
        <w:tc>
          <w:tcPr>
            <w:tcW w:w="3449" w:type="pct"/>
            <w:tcBorders>
              <w:top w:val="single" w:sz="4" w:space="0" w:color="000000"/>
              <w:left w:val="single" w:sz="12" w:space="0" w:color="000000"/>
              <w:bottom w:val="single" w:sz="4" w:space="0" w:color="000000"/>
              <w:right w:val="single" w:sz="4" w:space="0" w:color="000000"/>
            </w:tcBorders>
            <w:shd w:val="clear" w:color="auto" w:fill="FFFFFF"/>
          </w:tcPr>
          <w:p w:rsidR="00BA6061" w:rsidRDefault="00610DB9">
            <w:pPr>
              <w:ind w:firstLine="420"/>
              <w:jc w:val="center"/>
              <w:rPr>
                <w:rFonts w:ascii="宋体" w:hAnsi="宋体" w:cs="宋体"/>
                <w:bCs/>
                <w:color w:val="000000"/>
                <w:kern w:val="0"/>
                <w:szCs w:val="21"/>
              </w:rPr>
            </w:pPr>
            <w:r>
              <w:rPr>
                <w:rFonts w:ascii="宋体" w:hAnsi="宋体" w:cs="宋体"/>
                <w:bCs/>
                <w:color w:val="000000"/>
                <w:kern w:val="0"/>
                <w:szCs w:val="21"/>
              </w:rPr>
              <w:t>同一轨道30m范围内任意两块侧向挡板间距偏差</w:t>
            </w:r>
          </w:p>
        </w:tc>
        <w:tc>
          <w:tcPr>
            <w:tcW w:w="1550" w:type="pct"/>
            <w:tcBorders>
              <w:top w:val="single" w:sz="4" w:space="0" w:color="000000"/>
              <w:left w:val="single" w:sz="4" w:space="0" w:color="000000"/>
              <w:bottom w:val="single" w:sz="4" w:space="0" w:color="000000"/>
              <w:right w:val="single" w:sz="12" w:space="0" w:color="000000"/>
            </w:tcBorders>
            <w:shd w:val="clear" w:color="auto" w:fill="FFFFFF"/>
          </w:tcPr>
          <w:p w:rsidR="00BA6061" w:rsidRDefault="00610DB9">
            <w:pPr>
              <w:ind w:firstLine="420"/>
              <w:jc w:val="center"/>
              <w:rPr>
                <w:rFonts w:ascii="宋体" w:hAnsi="宋体" w:cs="宋体"/>
                <w:bCs/>
                <w:color w:val="000000"/>
                <w:kern w:val="0"/>
                <w:szCs w:val="21"/>
              </w:rPr>
            </w:pPr>
            <w:r>
              <w:rPr>
                <w:rFonts w:ascii="宋体" w:hAnsi="宋体" w:cs="宋体"/>
                <w:bCs/>
                <w:color w:val="000000"/>
                <w:kern w:val="0"/>
                <w:szCs w:val="21"/>
              </w:rPr>
              <w:t>±5mm</w:t>
            </w:r>
          </w:p>
        </w:tc>
      </w:tr>
      <w:tr w:rsidR="00BA6061">
        <w:trPr>
          <w:trHeight w:val="312"/>
        </w:trPr>
        <w:tc>
          <w:tcPr>
            <w:tcW w:w="3449" w:type="pct"/>
            <w:tcBorders>
              <w:top w:val="single" w:sz="4" w:space="0" w:color="000000"/>
              <w:left w:val="single" w:sz="12" w:space="0" w:color="000000"/>
              <w:bottom w:val="single" w:sz="12" w:space="0" w:color="000000"/>
              <w:right w:val="single" w:sz="4" w:space="0" w:color="000000"/>
            </w:tcBorders>
            <w:shd w:val="clear" w:color="auto" w:fill="FFFFFF"/>
          </w:tcPr>
          <w:p w:rsidR="00BA6061" w:rsidRDefault="00610DB9">
            <w:pPr>
              <w:ind w:firstLine="420"/>
              <w:jc w:val="center"/>
              <w:rPr>
                <w:rFonts w:ascii="宋体" w:hAnsi="宋体" w:cs="宋体"/>
                <w:bCs/>
                <w:color w:val="000000"/>
                <w:kern w:val="0"/>
                <w:szCs w:val="21"/>
              </w:rPr>
            </w:pPr>
            <w:r>
              <w:rPr>
                <w:rFonts w:ascii="宋体" w:hAnsi="宋体" w:cs="宋体"/>
                <w:bCs/>
                <w:color w:val="000000"/>
                <w:kern w:val="0"/>
                <w:szCs w:val="21"/>
              </w:rPr>
              <w:t>相邻轨道横侧向挡板间距向中心线偏差</w:t>
            </w:r>
          </w:p>
        </w:tc>
        <w:tc>
          <w:tcPr>
            <w:tcW w:w="1550" w:type="pct"/>
            <w:tcBorders>
              <w:top w:val="single" w:sz="4" w:space="0" w:color="000000"/>
              <w:left w:val="single" w:sz="4" w:space="0" w:color="000000"/>
              <w:bottom w:val="single" w:sz="12" w:space="0" w:color="000000"/>
              <w:right w:val="single" w:sz="12" w:space="0" w:color="000000"/>
            </w:tcBorders>
            <w:shd w:val="clear" w:color="auto" w:fill="FFFFFF"/>
          </w:tcPr>
          <w:p w:rsidR="00BA6061" w:rsidRDefault="00610DB9">
            <w:pPr>
              <w:ind w:firstLine="420"/>
              <w:jc w:val="center"/>
              <w:rPr>
                <w:rFonts w:ascii="宋体" w:hAnsi="宋体" w:cs="宋体"/>
                <w:bCs/>
                <w:color w:val="000000"/>
                <w:kern w:val="0"/>
                <w:szCs w:val="21"/>
              </w:rPr>
            </w:pPr>
            <w:r>
              <w:rPr>
                <w:rFonts w:ascii="宋体" w:hAnsi="宋体" w:cs="宋体"/>
                <w:bCs/>
                <w:color w:val="000000"/>
                <w:kern w:val="0"/>
                <w:szCs w:val="21"/>
              </w:rPr>
              <w:t>±5mm</w:t>
            </w:r>
          </w:p>
        </w:tc>
      </w:tr>
    </w:tbl>
    <w:p w:rsidR="00BA6061" w:rsidRDefault="00610DB9">
      <w:pPr>
        <w:pStyle w:val="ad"/>
        <w:ind w:firstLineChars="0" w:firstLine="0"/>
        <w:rPr>
          <w:szCs w:val="21"/>
        </w:rPr>
      </w:pPr>
      <w:r>
        <w:rPr>
          <w:szCs w:val="21"/>
        </w:rPr>
        <w:t>注：（</w:t>
      </w:r>
      <w:r>
        <w:rPr>
          <w:szCs w:val="21"/>
        </w:rPr>
        <w:t>1</w:t>
      </w:r>
      <w:r>
        <w:rPr>
          <w:szCs w:val="21"/>
        </w:rPr>
        <w:t>）检查数量：抽查</w:t>
      </w:r>
      <w:r>
        <w:rPr>
          <w:szCs w:val="21"/>
        </w:rPr>
        <w:t>10%,</w:t>
      </w:r>
      <w:r>
        <w:rPr>
          <w:szCs w:val="21"/>
        </w:rPr>
        <w:t>且不小于</w:t>
      </w:r>
      <w:r>
        <w:rPr>
          <w:szCs w:val="21"/>
        </w:rPr>
        <w:t>3</w:t>
      </w:r>
      <w:r>
        <w:rPr>
          <w:szCs w:val="21"/>
        </w:rPr>
        <w:t>个；</w:t>
      </w:r>
    </w:p>
    <w:p w:rsidR="00BA6061" w:rsidRDefault="00610DB9">
      <w:pPr>
        <w:pStyle w:val="ad"/>
        <w:ind w:firstLineChars="0" w:firstLine="0"/>
        <w:rPr>
          <w:szCs w:val="21"/>
        </w:rPr>
      </w:pPr>
      <w:r>
        <w:rPr>
          <w:rFonts w:hint="eastAsia"/>
          <w:szCs w:val="21"/>
        </w:rPr>
        <w:t>（</w:t>
      </w:r>
      <w:r>
        <w:rPr>
          <w:rFonts w:hint="eastAsia"/>
          <w:szCs w:val="21"/>
        </w:rPr>
        <w:t>2</w:t>
      </w:r>
      <w:r>
        <w:rPr>
          <w:rFonts w:hint="eastAsia"/>
          <w:szCs w:val="21"/>
        </w:rPr>
        <w:t>）</w:t>
      </w:r>
      <w:r>
        <w:rPr>
          <w:szCs w:val="21"/>
        </w:rPr>
        <w:t>检验方法：全站仪、钢尺；</w:t>
      </w:r>
    </w:p>
    <w:p w:rsidR="00BA6061" w:rsidRDefault="00610DB9">
      <w:pPr>
        <w:pStyle w:val="ad"/>
        <w:ind w:firstLineChars="0" w:firstLine="0"/>
        <w:rPr>
          <w:szCs w:val="21"/>
        </w:rPr>
      </w:pPr>
      <w:r>
        <w:rPr>
          <w:rFonts w:hint="eastAsia"/>
          <w:szCs w:val="21"/>
        </w:rPr>
        <w:t>（</w:t>
      </w:r>
      <w:r>
        <w:rPr>
          <w:rFonts w:hint="eastAsia"/>
          <w:szCs w:val="21"/>
        </w:rPr>
        <w:t>3</w:t>
      </w:r>
      <w:r>
        <w:rPr>
          <w:rFonts w:hint="eastAsia"/>
          <w:szCs w:val="21"/>
        </w:rPr>
        <w:t>）</w:t>
      </w:r>
      <w:r>
        <w:rPr>
          <w:szCs w:val="21"/>
        </w:rPr>
        <w:t>L</w:t>
      </w:r>
      <w:r>
        <w:rPr>
          <w:szCs w:val="21"/>
        </w:rPr>
        <w:t>表示相邻侧向挡板的中心间距。</w:t>
      </w:r>
    </w:p>
    <w:p w:rsidR="00BA6061" w:rsidRPr="00AF7005" w:rsidRDefault="00610DB9">
      <w:pPr>
        <w:pStyle w:val="ad"/>
        <w:numPr>
          <w:ilvl w:val="2"/>
          <w:numId w:val="3"/>
        </w:numPr>
        <w:spacing w:line="360" w:lineRule="auto"/>
        <w:ind w:left="0" w:firstLineChars="0" w:firstLine="0"/>
        <w:jc w:val="left"/>
        <w:rPr>
          <w:rFonts w:ascii="宋体" w:eastAsia="宋体" w:hAnsi="宋体" w:cs="宋体"/>
          <w:sz w:val="24"/>
          <w:szCs w:val="24"/>
        </w:rPr>
      </w:pPr>
      <w:r w:rsidRPr="00AF7005">
        <w:rPr>
          <w:rFonts w:ascii="宋体" w:eastAsia="宋体" w:hAnsi="宋体" w:cs="宋体" w:hint="eastAsia"/>
          <w:sz w:val="24"/>
          <w:szCs w:val="24"/>
        </w:rPr>
        <w:t xml:space="preserve"> </w:t>
      </w:r>
      <w:r w:rsidRPr="00AF7005">
        <w:rPr>
          <w:rFonts w:ascii="宋体" w:eastAsia="宋体" w:hAnsi="宋体" w:cs="宋体"/>
          <w:sz w:val="24"/>
          <w:szCs w:val="24"/>
        </w:rPr>
        <w:t>滑移施工前</w:t>
      </w:r>
      <w:r w:rsidRPr="00AF7005">
        <w:rPr>
          <w:rFonts w:ascii="宋体" w:eastAsia="宋体" w:hAnsi="宋体" w:cs="宋体" w:hint="eastAsia"/>
          <w:sz w:val="24"/>
          <w:szCs w:val="24"/>
        </w:rPr>
        <w:t>，</w:t>
      </w:r>
      <w:r w:rsidRPr="00AF7005">
        <w:rPr>
          <w:rFonts w:ascii="宋体" w:eastAsia="宋体" w:hAnsi="宋体" w:cs="宋体"/>
          <w:sz w:val="24"/>
          <w:szCs w:val="24"/>
        </w:rPr>
        <w:t>应</w:t>
      </w:r>
      <w:r w:rsidRPr="00AF7005">
        <w:rPr>
          <w:rFonts w:ascii="宋体" w:eastAsia="宋体" w:hAnsi="宋体" w:cs="宋体" w:hint="eastAsia"/>
          <w:sz w:val="24"/>
          <w:szCs w:val="24"/>
        </w:rPr>
        <w:t>对滑移支承结构安装质量、滑移结构安装质量进行质量验收。</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w:t>
      </w:r>
      <w:r>
        <w:rPr>
          <w:rFonts w:ascii="宋体" w:eastAsia="宋体" w:hAnsi="宋体" w:cs="宋体"/>
          <w:sz w:val="24"/>
          <w:szCs w:val="24"/>
        </w:rPr>
        <w:t>结构滑移安装完成</w:t>
      </w:r>
      <w:r>
        <w:rPr>
          <w:rFonts w:ascii="宋体" w:eastAsia="宋体" w:hAnsi="宋体" w:cs="宋体" w:hint="eastAsia"/>
          <w:sz w:val="24"/>
          <w:szCs w:val="24"/>
        </w:rPr>
        <w:t>及屋面工程完成</w:t>
      </w:r>
      <w:r>
        <w:rPr>
          <w:rFonts w:ascii="宋体" w:eastAsia="宋体" w:hAnsi="宋体" w:cs="宋体"/>
          <w:sz w:val="24"/>
          <w:szCs w:val="24"/>
        </w:rPr>
        <w:t>后应分别测量结构挠度值，所测的挠度值不应超过现荷载条件下相应挠度计算值的1.15倍。</w:t>
      </w:r>
    </w:p>
    <w:p w:rsidR="00BA6061" w:rsidRPr="00AF7005" w:rsidRDefault="00610DB9">
      <w:pPr>
        <w:pStyle w:val="ad"/>
        <w:numPr>
          <w:ilvl w:val="2"/>
          <w:numId w:val="3"/>
        </w:numPr>
        <w:spacing w:line="360" w:lineRule="auto"/>
        <w:ind w:left="0" w:firstLineChars="0" w:firstLine="0"/>
        <w:jc w:val="left"/>
        <w:rPr>
          <w:rFonts w:ascii="宋体" w:eastAsia="宋体" w:hAnsi="宋体" w:cs="宋体"/>
          <w:sz w:val="24"/>
          <w:szCs w:val="24"/>
        </w:rPr>
      </w:pPr>
      <w:r w:rsidRPr="00AF7005">
        <w:rPr>
          <w:rFonts w:ascii="宋体" w:eastAsia="宋体" w:hAnsi="宋体" w:cs="宋体" w:hint="eastAsia"/>
          <w:sz w:val="24"/>
          <w:szCs w:val="24"/>
        </w:rPr>
        <w:t xml:space="preserve"> 滑移结构就位安装后验收应符合现行国家标准《钢结构工程施工质量验收标准》GB 50205的相关规定。</w:t>
      </w:r>
    </w:p>
    <w:p w:rsidR="00BA6061" w:rsidRDefault="00610DB9">
      <w:pPr>
        <w:pStyle w:val="2"/>
        <w:keepNext w:val="0"/>
        <w:keepLines w:val="0"/>
        <w:numPr>
          <w:ilvl w:val="1"/>
          <w:numId w:val="1"/>
        </w:numPr>
        <w:spacing w:before="312" w:after="312" w:line="360" w:lineRule="auto"/>
        <w:ind w:left="0" w:firstLine="560"/>
        <w:jc w:val="center"/>
        <w:rPr>
          <w:rFonts w:ascii="黑体" w:hAnsi="黑体" w:cs="黑体"/>
          <w:b w:val="0"/>
          <w:kern w:val="44"/>
          <w:sz w:val="28"/>
          <w:szCs w:val="28"/>
        </w:rPr>
      </w:pPr>
      <w:bookmarkStart w:id="95" w:name="_Toc223533703"/>
      <w:bookmarkStart w:id="96" w:name="_Toc224026623"/>
      <w:r>
        <w:rPr>
          <w:rFonts w:ascii="黑体" w:hAnsi="黑体" w:cs="黑体" w:hint="eastAsia"/>
          <w:b w:val="0"/>
          <w:kern w:val="44"/>
          <w:sz w:val="28"/>
          <w:szCs w:val="28"/>
        </w:rPr>
        <w:t>步履式顶推质量检验</w:t>
      </w:r>
      <w:bookmarkEnd w:id="95"/>
      <w:bookmarkEnd w:id="96"/>
    </w:p>
    <w:p w:rsidR="00BA6061" w:rsidRDefault="00BA6061">
      <w:pPr>
        <w:pStyle w:val="ad"/>
        <w:numPr>
          <w:ilvl w:val="1"/>
          <w:numId w:val="3"/>
        </w:numPr>
        <w:spacing w:line="360" w:lineRule="auto"/>
        <w:ind w:firstLineChars="0"/>
        <w:jc w:val="left"/>
        <w:rPr>
          <w:rFonts w:ascii="宋体" w:eastAsia="宋体" w:hAnsi="宋体" w:cs="宋体"/>
          <w:vanish/>
          <w:sz w:val="24"/>
          <w:szCs w:val="24"/>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顶推平台及临时墩的质量检查项目、质量要求、检验方法和频率应符合表9.4.1的规定。</w:t>
      </w:r>
    </w:p>
    <w:p w:rsidR="00BA6061" w:rsidRDefault="00610DB9">
      <w:pPr>
        <w:ind w:firstLine="360"/>
        <w:jc w:val="center"/>
        <w:rPr>
          <w:rStyle w:val="ae"/>
          <w:rFonts w:ascii="黑体" w:hAnsi="黑体"/>
          <w:kern w:val="0"/>
          <w:szCs w:val="21"/>
        </w:rPr>
      </w:pPr>
      <w:r>
        <w:rPr>
          <w:rStyle w:val="ae"/>
          <w:rFonts w:ascii="黑体" w:hAnsi="黑体"/>
          <w:kern w:val="0"/>
          <w:szCs w:val="21"/>
        </w:rPr>
        <w:t>表</w:t>
      </w:r>
      <w:r>
        <w:rPr>
          <w:rStyle w:val="ae"/>
          <w:rFonts w:ascii="黑体" w:hAnsi="黑体" w:hint="eastAsia"/>
          <w:kern w:val="0"/>
          <w:szCs w:val="21"/>
        </w:rPr>
        <w:t>9.4</w:t>
      </w:r>
      <w:r>
        <w:rPr>
          <w:rStyle w:val="ae"/>
          <w:rFonts w:ascii="黑体" w:hAnsi="黑体"/>
          <w:kern w:val="0"/>
          <w:szCs w:val="21"/>
        </w:rPr>
        <w:t>.</w:t>
      </w:r>
      <w:r>
        <w:rPr>
          <w:rStyle w:val="ae"/>
          <w:rFonts w:ascii="黑体" w:hAnsi="黑体" w:hint="eastAsia"/>
          <w:kern w:val="0"/>
          <w:szCs w:val="21"/>
        </w:rPr>
        <w:t>1</w:t>
      </w:r>
      <w:r>
        <w:rPr>
          <w:rStyle w:val="ae"/>
          <w:rFonts w:ascii="黑体" w:hAnsi="黑体"/>
          <w:kern w:val="0"/>
          <w:szCs w:val="21"/>
        </w:rPr>
        <w:t xml:space="preserve">  </w:t>
      </w:r>
      <w:r>
        <w:rPr>
          <w:rStyle w:val="ae"/>
          <w:rFonts w:ascii="黑体" w:hAnsi="黑体" w:hint="eastAsia"/>
          <w:kern w:val="0"/>
          <w:szCs w:val="21"/>
        </w:rPr>
        <w:t>顶推平台及</w:t>
      </w:r>
      <w:r>
        <w:rPr>
          <w:rStyle w:val="ae"/>
          <w:rFonts w:ascii="黑体" w:hAnsi="黑体"/>
          <w:kern w:val="0"/>
          <w:szCs w:val="21"/>
        </w:rPr>
        <w:t>临时</w:t>
      </w:r>
      <w:proofErr w:type="gramStart"/>
      <w:r>
        <w:rPr>
          <w:rStyle w:val="ae"/>
          <w:rFonts w:ascii="黑体" w:hAnsi="黑体"/>
          <w:kern w:val="0"/>
          <w:szCs w:val="21"/>
        </w:rPr>
        <w:t>墩</w:t>
      </w:r>
      <w:proofErr w:type="gramEnd"/>
      <w:r>
        <w:rPr>
          <w:rStyle w:val="ae"/>
          <w:rFonts w:ascii="黑体" w:hAnsi="黑体" w:hint="eastAsia"/>
          <w:kern w:val="0"/>
          <w:szCs w:val="21"/>
        </w:rPr>
        <w:t>检验</w:t>
      </w:r>
      <w:r>
        <w:rPr>
          <w:rStyle w:val="ae"/>
          <w:rFonts w:ascii="黑体" w:hAnsi="黑体"/>
          <w:kern w:val="0"/>
          <w:szCs w:val="21"/>
        </w:rPr>
        <w:t>项目</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63"/>
        <w:gridCol w:w="719"/>
        <w:gridCol w:w="1785"/>
        <w:gridCol w:w="3139"/>
        <w:gridCol w:w="1970"/>
      </w:tblGrid>
      <w:tr w:rsidR="00BA6061">
        <w:trPr>
          <w:trHeight w:val="340"/>
          <w:jc w:val="center"/>
        </w:trPr>
        <w:tc>
          <w:tcPr>
            <w:tcW w:w="663" w:type="dxa"/>
            <w:vAlign w:val="center"/>
          </w:tcPr>
          <w:p w:rsidR="00BA6061" w:rsidRDefault="00610DB9">
            <w:pPr>
              <w:pStyle w:val="ad"/>
              <w:ind w:firstLineChars="0" w:firstLine="0"/>
              <w:jc w:val="center"/>
              <w:rPr>
                <w:rFonts w:ascii="宋体" w:hAnsi="宋体" w:cs="宋体"/>
                <w:b/>
                <w:bCs/>
                <w:szCs w:val="21"/>
              </w:rPr>
            </w:pPr>
            <w:r>
              <w:rPr>
                <w:rFonts w:ascii="宋体" w:hAnsi="宋体" w:cs="宋体" w:hint="eastAsia"/>
                <w:b/>
                <w:bCs/>
                <w:szCs w:val="21"/>
              </w:rPr>
              <w:t>项次</w:t>
            </w:r>
          </w:p>
        </w:tc>
        <w:tc>
          <w:tcPr>
            <w:tcW w:w="2504" w:type="dxa"/>
            <w:gridSpan w:val="2"/>
            <w:vAlign w:val="center"/>
          </w:tcPr>
          <w:p w:rsidR="00BA6061" w:rsidRDefault="00610DB9">
            <w:pPr>
              <w:pStyle w:val="ad"/>
              <w:ind w:firstLineChars="0" w:firstLine="0"/>
              <w:jc w:val="center"/>
              <w:rPr>
                <w:rFonts w:ascii="宋体" w:hAnsi="宋体" w:cs="宋体"/>
                <w:b/>
                <w:bCs/>
                <w:szCs w:val="21"/>
              </w:rPr>
            </w:pPr>
            <w:r>
              <w:rPr>
                <w:rFonts w:ascii="宋体" w:hAnsi="宋体" w:cs="宋体" w:hint="eastAsia"/>
                <w:b/>
                <w:bCs/>
                <w:szCs w:val="21"/>
              </w:rPr>
              <w:t>检查项目</w:t>
            </w:r>
          </w:p>
        </w:tc>
        <w:tc>
          <w:tcPr>
            <w:tcW w:w="3139" w:type="dxa"/>
            <w:vAlign w:val="center"/>
          </w:tcPr>
          <w:p w:rsidR="00BA6061" w:rsidRDefault="00610DB9">
            <w:pPr>
              <w:pStyle w:val="ad"/>
              <w:ind w:firstLineChars="0" w:firstLine="0"/>
              <w:jc w:val="center"/>
              <w:rPr>
                <w:rFonts w:ascii="宋体" w:hAnsi="宋体" w:cs="宋体"/>
                <w:b/>
                <w:bCs/>
                <w:szCs w:val="21"/>
              </w:rPr>
            </w:pPr>
            <w:r>
              <w:rPr>
                <w:rFonts w:ascii="宋体" w:hAnsi="宋体" w:cs="宋体" w:hint="eastAsia"/>
                <w:b/>
                <w:bCs/>
                <w:szCs w:val="21"/>
              </w:rPr>
              <w:t>规定值或允许偏差</w:t>
            </w:r>
          </w:p>
        </w:tc>
        <w:tc>
          <w:tcPr>
            <w:tcW w:w="1970" w:type="dxa"/>
            <w:vAlign w:val="center"/>
          </w:tcPr>
          <w:p w:rsidR="00BA6061" w:rsidRDefault="00610DB9">
            <w:pPr>
              <w:pStyle w:val="ad"/>
              <w:ind w:firstLineChars="0" w:firstLine="0"/>
              <w:jc w:val="left"/>
              <w:rPr>
                <w:rFonts w:ascii="宋体" w:hAnsi="宋体" w:cs="宋体"/>
                <w:b/>
                <w:bCs/>
                <w:szCs w:val="21"/>
              </w:rPr>
            </w:pPr>
            <w:r>
              <w:rPr>
                <w:rFonts w:ascii="宋体" w:hAnsi="宋体" w:cs="宋体" w:hint="eastAsia"/>
                <w:b/>
                <w:bCs/>
                <w:szCs w:val="21"/>
              </w:rPr>
              <w:t>检查方法和频率</w:t>
            </w:r>
          </w:p>
        </w:tc>
      </w:tr>
      <w:tr w:rsidR="00BA6061">
        <w:trPr>
          <w:trHeight w:val="340"/>
          <w:jc w:val="center"/>
        </w:trPr>
        <w:tc>
          <w:tcPr>
            <w:tcW w:w="663" w:type="dxa"/>
            <w:vMerge w:val="restar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1</w:t>
            </w:r>
          </w:p>
        </w:tc>
        <w:tc>
          <w:tcPr>
            <w:tcW w:w="719" w:type="dxa"/>
            <w:vMerge w:val="restar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总体质量</w:t>
            </w:r>
          </w:p>
        </w:tc>
        <w:tc>
          <w:tcPr>
            <w:tcW w:w="1785" w:type="dxa"/>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与基础接触面</w:t>
            </w:r>
          </w:p>
        </w:tc>
        <w:tc>
          <w:tcPr>
            <w:tcW w:w="3139" w:type="dxa"/>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密贴、平整</w:t>
            </w:r>
          </w:p>
        </w:tc>
        <w:tc>
          <w:tcPr>
            <w:tcW w:w="1970" w:type="dxa"/>
            <w:vAlign w:val="center"/>
          </w:tcPr>
          <w:p w:rsidR="00BA6061" w:rsidRDefault="00610DB9">
            <w:pPr>
              <w:pStyle w:val="ad"/>
              <w:ind w:firstLineChars="0" w:firstLine="0"/>
              <w:jc w:val="left"/>
              <w:rPr>
                <w:rFonts w:ascii="宋体" w:hAnsi="宋体" w:cs="宋体"/>
                <w:szCs w:val="21"/>
              </w:rPr>
            </w:pPr>
            <w:r>
              <w:rPr>
                <w:rFonts w:ascii="宋体" w:hAnsi="宋体" w:cs="宋体" w:hint="eastAsia"/>
                <w:szCs w:val="21"/>
              </w:rPr>
              <w:t>尺量：查看全部</w:t>
            </w:r>
          </w:p>
        </w:tc>
      </w:tr>
      <w:tr w:rsidR="00BA6061">
        <w:trPr>
          <w:trHeight w:val="340"/>
          <w:jc w:val="center"/>
        </w:trPr>
        <w:tc>
          <w:tcPr>
            <w:tcW w:w="663" w:type="dxa"/>
            <w:vMerge/>
            <w:vAlign w:val="center"/>
          </w:tcPr>
          <w:p w:rsidR="00BA6061" w:rsidRDefault="00BA6061">
            <w:pPr>
              <w:pStyle w:val="ad"/>
              <w:ind w:firstLineChars="0" w:firstLine="0"/>
              <w:jc w:val="center"/>
              <w:rPr>
                <w:rFonts w:ascii="宋体" w:hAnsi="宋体" w:cs="宋体"/>
                <w:szCs w:val="21"/>
              </w:rPr>
            </w:pPr>
          </w:p>
        </w:tc>
        <w:tc>
          <w:tcPr>
            <w:tcW w:w="719" w:type="dxa"/>
            <w:vMerge/>
            <w:vAlign w:val="center"/>
          </w:tcPr>
          <w:p w:rsidR="00BA6061" w:rsidRDefault="00BA6061">
            <w:pPr>
              <w:pStyle w:val="ad"/>
              <w:ind w:firstLineChars="0" w:firstLine="0"/>
              <w:jc w:val="center"/>
              <w:rPr>
                <w:rFonts w:ascii="宋体" w:hAnsi="宋体" w:cs="宋体"/>
                <w:szCs w:val="21"/>
              </w:rPr>
            </w:pPr>
          </w:p>
        </w:tc>
        <w:tc>
          <w:tcPr>
            <w:tcW w:w="1785" w:type="dxa"/>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顶标高</w:t>
            </w:r>
          </w:p>
        </w:tc>
        <w:tc>
          <w:tcPr>
            <w:tcW w:w="3139" w:type="dxa"/>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-20，0mm</w:t>
            </w:r>
          </w:p>
        </w:tc>
        <w:tc>
          <w:tcPr>
            <w:tcW w:w="1970" w:type="dxa"/>
            <w:vAlign w:val="center"/>
          </w:tcPr>
          <w:p w:rsidR="00BA6061" w:rsidRDefault="00610DB9">
            <w:pPr>
              <w:pStyle w:val="ad"/>
              <w:ind w:firstLineChars="0" w:firstLine="0"/>
              <w:jc w:val="left"/>
              <w:rPr>
                <w:rFonts w:ascii="宋体" w:hAnsi="宋体" w:cs="宋体"/>
                <w:szCs w:val="21"/>
              </w:rPr>
            </w:pPr>
            <w:r>
              <w:rPr>
                <w:rFonts w:ascii="宋体" w:hAnsi="宋体" w:cs="宋体" w:hint="eastAsia"/>
                <w:szCs w:val="21"/>
              </w:rPr>
              <w:t>水准仪测量</w:t>
            </w:r>
          </w:p>
        </w:tc>
      </w:tr>
      <w:tr w:rsidR="00BA6061">
        <w:trPr>
          <w:trHeight w:val="340"/>
          <w:jc w:val="center"/>
        </w:trPr>
        <w:tc>
          <w:tcPr>
            <w:tcW w:w="663" w:type="dxa"/>
            <w:vMerge/>
            <w:vAlign w:val="center"/>
          </w:tcPr>
          <w:p w:rsidR="00BA6061" w:rsidRDefault="00BA6061">
            <w:pPr>
              <w:pStyle w:val="ad"/>
              <w:ind w:firstLineChars="0" w:firstLine="0"/>
              <w:jc w:val="center"/>
              <w:rPr>
                <w:rFonts w:ascii="宋体" w:hAnsi="宋体" w:cs="宋体"/>
                <w:szCs w:val="21"/>
              </w:rPr>
            </w:pPr>
          </w:p>
        </w:tc>
        <w:tc>
          <w:tcPr>
            <w:tcW w:w="719" w:type="dxa"/>
            <w:vMerge/>
            <w:vAlign w:val="center"/>
          </w:tcPr>
          <w:p w:rsidR="00BA6061" w:rsidRDefault="00BA6061">
            <w:pPr>
              <w:pStyle w:val="ad"/>
              <w:ind w:firstLineChars="0" w:firstLine="0"/>
              <w:jc w:val="center"/>
              <w:rPr>
                <w:rFonts w:ascii="宋体" w:hAnsi="宋体" w:cs="宋体"/>
                <w:szCs w:val="21"/>
              </w:rPr>
            </w:pPr>
          </w:p>
        </w:tc>
        <w:tc>
          <w:tcPr>
            <w:tcW w:w="1785" w:type="dxa"/>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联结系</w:t>
            </w:r>
          </w:p>
        </w:tc>
        <w:tc>
          <w:tcPr>
            <w:tcW w:w="3139" w:type="dxa"/>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位置准确，连接牢固</w:t>
            </w:r>
          </w:p>
        </w:tc>
        <w:tc>
          <w:tcPr>
            <w:tcW w:w="1970" w:type="dxa"/>
            <w:vAlign w:val="center"/>
          </w:tcPr>
          <w:p w:rsidR="00BA6061" w:rsidRDefault="00610DB9">
            <w:pPr>
              <w:pStyle w:val="ad"/>
              <w:ind w:firstLineChars="0" w:firstLine="0"/>
              <w:jc w:val="left"/>
              <w:rPr>
                <w:rFonts w:ascii="宋体" w:hAnsi="宋体" w:cs="宋体"/>
                <w:szCs w:val="21"/>
              </w:rPr>
            </w:pPr>
            <w:r>
              <w:rPr>
                <w:rFonts w:ascii="宋体" w:hAnsi="宋体" w:cs="宋体" w:hint="eastAsia"/>
                <w:szCs w:val="21"/>
              </w:rPr>
              <w:t>尺量：查看全部</w:t>
            </w:r>
          </w:p>
        </w:tc>
      </w:tr>
      <w:tr w:rsidR="00BA6061">
        <w:trPr>
          <w:trHeight w:val="340"/>
          <w:jc w:val="center"/>
        </w:trPr>
        <w:tc>
          <w:tcPr>
            <w:tcW w:w="663" w:type="dxa"/>
            <w:vMerge w:val="restar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2</w:t>
            </w:r>
          </w:p>
        </w:tc>
        <w:tc>
          <w:tcPr>
            <w:tcW w:w="719" w:type="dxa"/>
            <w:vMerge w:val="restar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立柱钢管</w:t>
            </w:r>
          </w:p>
        </w:tc>
        <w:tc>
          <w:tcPr>
            <w:tcW w:w="1785" w:type="dxa"/>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外观质量</w:t>
            </w:r>
          </w:p>
        </w:tc>
        <w:tc>
          <w:tcPr>
            <w:tcW w:w="3139" w:type="dxa"/>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纵轴线弯曲矢高≤L/1000且&lt;10mm，不应有严重锈蚀，脱皮</w:t>
            </w:r>
          </w:p>
        </w:tc>
        <w:tc>
          <w:tcPr>
            <w:tcW w:w="1970" w:type="dxa"/>
            <w:vAlign w:val="center"/>
          </w:tcPr>
          <w:p w:rsidR="00BA6061" w:rsidRDefault="00610DB9">
            <w:pPr>
              <w:pStyle w:val="ad"/>
              <w:ind w:firstLineChars="0" w:firstLine="0"/>
              <w:jc w:val="left"/>
              <w:rPr>
                <w:rFonts w:ascii="宋体" w:hAnsi="宋体" w:cs="宋体"/>
                <w:szCs w:val="21"/>
              </w:rPr>
            </w:pPr>
            <w:r>
              <w:rPr>
                <w:rFonts w:ascii="宋体" w:hAnsi="宋体" w:cs="宋体" w:hint="eastAsia"/>
                <w:szCs w:val="21"/>
              </w:rPr>
              <w:t>尺量：查看全部</w:t>
            </w:r>
          </w:p>
        </w:tc>
      </w:tr>
      <w:tr w:rsidR="00BA6061">
        <w:trPr>
          <w:trHeight w:val="340"/>
          <w:jc w:val="center"/>
        </w:trPr>
        <w:tc>
          <w:tcPr>
            <w:tcW w:w="663" w:type="dxa"/>
            <w:vMerge/>
            <w:vAlign w:val="center"/>
          </w:tcPr>
          <w:p w:rsidR="00BA6061" w:rsidRDefault="00BA6061">
            <w:pPr>
              <w:pStyle w:val="ad"/>
              <w:ind w:firstLineChars="0" w:firstLine="0"/>
              <w:jc w:val="center"/>
              <w:rPr>
                <w:rFonts w:ascii="宋体" w:hAnsi="宋体" w:cs="宋体"/>
                <w:szCs w:val="21"/>
              </w:rPr>
            </w:pPr>
          </w:p>
        </w:tc>
        <w:tc>
          <w:tcPr>
            <w:tcW w:w="719" w:type="dxa"/>
            <w:vMerge/>
            <w:vAlign w:val="center"/>
          </w:tcPr>
          <w:p w:rsidR="00BA6061" w:rsidRDefault="00BA6061">
            <w:pPr>
              <w:pStyle w:val="ad"/>
              <w:ind w:firstLineChars="0" w:firstLine="0"/>
              <w:jc w:val="center"/>
              <w:rPr>
                <w:rFonts w:ascii="宋体" w:hAnsi="宋体" w:cs="宋体"/>
                <w:szCs w:val="21"/>
              </w:rPr>
            </w:pPr>
          </w:p>
        </w:tc>
        <w:tc>
          <w:tcPr>
            <w:tcW w:w="1785" w:type="dxa"/>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焊缝</w:t>
            </w:r>
          </w:p>
        </w:tc>
        <w:tc>
          <w:tcPr>
            <w:tcW w:w="3139" w:type="dxa"/>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外观质量符合设计要求</w:t>
            </w:r>
          </w:p>
        </w:tc>
        <w:tc>
          <w:tcPr>
            <w:tcW w:w="1970" w:type="dxa"/>
            <w:vAlign w:val="center"/>
          </w:tcPr>
          <w:p w:rsidR="00BA6061" w:rsidRDefault="00610DB9">
            <w:pPr>
              <w:pStyle w:val="ad"/>
              <w:ind w:firstLineChars="0" w:firstLine="0"/>
              <w:jc w:val="left"/>
              <w:rPr>
                <w:rFonts w:ascii="宋体" w:hAnsi="宋体" w:cs="宋体"/>
                <w:szCs w:val="21"/>
              </w:rPr>
            </w:pPr>
            <w:r>
              <w:rPr>
                <w:rFonts w:ascii="宋体" w:hAnsi="宋体" w:cs="宋体" w:hint="eastAsia"/>
                <w:szCs w:val="21"/>
              </w:rPr>
              <w:t>尺量：查看全部</w:t>
            </w:r>
          </w:p>
        </w:tc>
      </w:tr>
      <w:tr w:rsidR="00BA6061">
        <w:trPr>
          <w:trHeight w:val="340"/>
          <w:jc w:val="center"/>
        </w:trPr>
        <w:tc>
          <w:tcPr>
            <w:tcW w:w="663" w:type="dxa"/>
            <w:vMerge w:val="restar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3</w:t>
            </w:r>
          </w:p>
        </w:tc>
        <w:tc>
          <w:tcPr>
            <w:tcW w:w="719" w:type="dxa"/>
            <w:vMerge w:val="restar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柱顶分配梁</w:t>
            </w:r>
          </w:p>
        </w:tc>
        <w:tc>
          <w:tcPr>
            <w:tcW w:w="1785" w:type="dxa"/>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规格</w:t>
            </w:r>
          </w:p>
        </w:tc>
        <w:tc>
          <w:tcPr>
            <w:tcW w:w="3139" w:type="dxa"/>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符合设计要求</w:t>
            </w:r>
          </w:p>
        </w:tc>
        <w:tc>
          <w:tcPr>
            <w:tcW w:w="1970" w:type="dxa"/>
            <w:vAlign w:val="center"/>
          </w:tcPr>
          <w:p w:rsidR="00BA6061" w:rsidRDefault="00610DB9">
            <w:pPr>
              <w:pStyle w:val="ad"/>
              <w:ind w:firstLineChars="0" w:firstLine="0"/>
              <w:jc w:val="left"/>
              <w:rPr>
                <w:rFonts w:ascii="宋体" w:hAnsi="宋体" w:cs="宋体"/>
                <w:szCs w:val="21"/>
              </w:rPr>
            </w:pPr>
            <w:r>
              <w:rPr>
                <w:rFonts w:ascii="宋体" w:hAnsi="宋体" w:cs="宋体" w:hint="eastAsia"/>
                <w:szCs w:val="21"/>
              </w:rPr>
              <w:t>尺量：查看全部</w:t>
            </w:r>
          </w:p>
        </w:tc>
      </w:tr>
      <w:tr w:rsidR="00BA6061">
        <w:trPr>
          <w:trHeight w:val="340"/>
          <w:jc w:val="center"/>
        </w:trPr>
        <w:tc>
          <w:tcPr>
            <w:tcW w:w="663" w:type="dxa"/>
            <w:vMerge/>
            <w:vAlign w:val="center"/>
          </w:tcPr>
          <w:p w:rsidR="00BA6061" w:rsidRDefault="00BA6061">
            <w:pPr>
              <w:pStyle w:val="ad"/>
              <w:ind w:firstLineChars="0" w:firstLine="0"/>
              <w:jc w:val="center"/>
              <w:rPr>
                <w:rFonts w:ascii="宋体" w:hAnsi="宋体" w:cs="宋体"/>
                <w:szCs w:val="21"/>
              </w:rPr>
            </w:pPr>
          </w:p>
        </w:tc>
        <w:tc>
          <w:tcPr>
            <w:tcW w:w="719" w:type="dxa"/>
            <w:vMerge/>
            <w:vAlign w:val="center"/>
          </w:tcPr>
          <w:p w:rsidR="00BA6061" w:rsidRDefault="00BA6061">
            <w:pPr>
              <w:pStyle w:val="ad"/>
              <w:ind w:firstLineChars="0" w:firstLine="0"/>
              <w:jc w:val="center"/>
              <w:rPr>
                <w:rFonts w:ascii="宋体" w:hAnsi="宋体" w:cs="宋体"/>
                <w:szCs w:val="21"/>
              </w:rPr>
            </w:pPr>
          </w:p>
        </w:tc>
        <w:tc>
          <w:tcPr>
            <w:tcW w:w="1785" w:type="dxa"/>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外观质量</w:t>
            </w:r>
          </w:p>
        </w:tc>
        <w:tc>
          <w:tcPr>
            <w:tcW w:w="3139" w:type="dxa"/>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弯曲矢高≤L/1000且&lt;10mm，不应有严重锈蚀</w:t>
            </w:r>
          </w:p>
        </w:tc>
        <w:tc>
          <w:tcPr>
            <w:tcW w:w="1970" w:type="dxa"/>
            <w:vAlign w:val="center"/>
          </w:tcPr>
          <w:p w:rsidR="00BA6061" w:rsidRDefault="00610DB9">
            <w:pPr>
              <w:pStyle w:val="ad"/>
              <w:ind w:firstLineChars="0" w:firstLine="0"/>
              <w:jc w:val="left"/>
              <w:rPr>
                <w:rFonts w:ascii="宋体" w:hAnsi="宋体" w:cs="宋体"/>
                <w:szCs w:val="21"/>
              </w:rPr>
            </w:pPr>
            <w:r>
              <w:rPr>
                <w:rFonts w:ascii="宋体" w:hAnsi="宋体" w:cs="宋体" w:hint="eastAsia"/>
                <w:szCs w:val="21"/>
              </w:rPr>
              <w:t>尺量：查看全部</w:t>
            </w:r>
          </w:p>
        </w:tc>
      </w:tr>
      <w:tr w:rsidR="00BA6061">
        <w:trPr>
          <w:trHeight w:val="340"/>
          <w:jc w:val="center"/>
        </w:trPr>
        <w:tc>
          <w:tcPr>
            <w:tcW w:w="663" w:type="dxa"/>
            <w:vMerge/>
            <w:vAlign w:val="center"/>
          </w:tcPr>
          <w:p w:rsidR="00BA6061" w:rsidRDefault="00BA6061">
            <w:pPr>
              <w:pStyle w:val="ad"/>
              <w:ind w:firstLineChars="0" w:firstLine="0"/>
              <w:jc w:val="center"/>
              <w:rPr>
                <w:rFonts w:ascii="宋体" w:hAnsi="宋体" w:cs="宋体"/>
                <w:szCs w:val="21"/>
              </w:rPr>
            </w:pPr>
          </w:p>
        </w:tc>
        <w:tc>
          <w:tcPr>
            <w:tcW w:w="719" w:type="dxa"/>
            <w:vMerge/>
            <w:vAlign w:val="center"/>
          </w:tcPr>
          <w:p w:rsidR="00BA6061" w:rsidRDefault="00BA6061">
            <w:pPr>
              <w:pStyle w:val="ad"/>
              <w:ind w:firstLineChars="0" w:firstLine="0"/>
              <w:jc w:val="center"/>
              <w:rPr>
                <w:rFonts w:ascii="宋体" w:hAnsi="宋体" w:cs="宋体"/>
                <w:szCs w:val="21"/>
              </w:rPr>
            </w:pPr>
          </w:p>
        </w:tc>
        <w:tc>
          <w:tcPr>
            <w:tcW w:w="1785" w:type="dxa"/>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加工、安装质量</w:t>
            </w:r>
          </w:p>
        </w:tc>
        <w:tc>
          <w:tcPr>
            <w:tcW w:w="3139" w:type="dxa"/>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加劲符合设计要求，连接牢固</w:t>
            </w:r>
          </w:p>
        </w:tc>
        <w:tc>
          <w:tcPr>
            <w:tcW w:w="1970" w:type="dxa"/>
            <w:vAlign w:val="center"/>
          </w:tcPr>
          <w:p w:rsidR="00BA6061" w:rsidRDefault="00610DB9">
            <w:pPr>
              <w:pStyle w:val="ad"/>
              <w:ind w:firstLineChars="0" w:firstLine="0"/>
              <w:jc w:val="left"/>
              <w:rPr>
                <w:rFonts w:ascii="宋体" w:hAnsi="宋体" w:cs="宋体"/>
                <w:szCs w:val="21"/>
              </w:rPr>
            </w:pPr>
            <w:r>
              <w:rPr>
                <w:rFonts w:ascii="宋体" w:hAnsi="宋体" w:cs="宋体" w:hint="eastAsia"/>
                <w:szCs w:val="21"/>
              </w:rPr>
              <w:t>尺量：查看全部</w:t>
            </w:r>
          </w:p>
        </w:tc>
      </w:tr>
      <w:tr w:rsidR="00BA6061">
        <w:trPr>
          <w:trHeight w:val="340"/>
          <w:jc w:val="center"/>
        </w:trPr>
        <w:tc>
          <w:tcPr>
            <w:tcW w:w="663" w:type="dxa"/>
            <w:vMerge/>
            <w:vAlign w:val="center"/>
          </w:tcPr>
          <w:p w:rsidR="00BA6061" w:rsidRDefault="00BA6061">
            <w:pPr>
              <w:pStyle w:val="ad"/>
              <w:ind w:firstLineChars="0" w:firstLine="0"/>
              <w:jc w:val="center"/>
              <w:rPr>
                <w:rFonts w:ascii="宋体" w:hAnsi="宋体" w:cs="宋体"/>
                <w:szCs w:val="21"/>
              </w:rPr>
            </w:pPr>
          </w:p>
        </w:tc>
        <w:tc>
          <w:tcPr>
            <w:tcW w:w="719" w:type="dxa"/>
            <w:vMerge/>
            <w:vAlign w:val="center"/>
          </w:tcPr>
          <w:p w:rsidR="00BA6061" w:rsidRDefault="00BA6061">
            <w:pPr>
              <w:pStyle w:val="ad"/>
              <w:ind w:firstLineChars="0" w:firstLine="0"/>
              <w:jc w:val="center"/>
              <w:rPr>
                <w:rFonts w:ascii="宋体" w:hAnsi="宋体" w:cs="宋体"/>
                <w:szCs w:val="21"/>
              </w:rPr>
            </w:pPr>
          </w:p>
        </w:tc>
        <w:tc>
          <w:tcPr>
            <w:tcW w:w="1785" w:type="dxa"/>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焊缝</w:t>
            </w:r>
          </w:p>
        </w:tc>
        <w:tc>
          <w:tcPr>
            <w:tcW w:w="3139" w:type="dxa"/>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外观质量符合设计要求</w:t>
            </w:r>
          </w:p>
        </w:tc>
        <w:tc>
          <w:tcPr>
            <w:tcW w:w="1970" w:type="dxa"/>
            <w:vAlign w:val="center"/>
          </w:tcPr>
          <w:p w:rsidR="00BA6061" w:rsidRDefault="00610DB9">
            <w:pPr>
              <w:pStyle w:val="ad"/>
              <w:ind w:firstLineChars="0" w:firstLine="0"/>
              <w:jc w:val="left"/>
              <w:rPr>
                <w:rFonts w:ascii="宋体" w:hAnsi="宋体" w:cs="宋体"/>
                <w:szCs w:val="21"/>
              </w:rPr>
            </w:pPr>
            <w:r>
              <w:rPr>
                <w:rFonts w:ascii="宋体" w:hAnsi="宋体" w:cs="宋体" w:hint="eastAsia"/>
                <w:szCs w:val="21"/>
              </w:rPr>
              <w:t>尺量：查看全部</w:t>
            </w:r>
          </w:p>
        </w:tc>
      </w:tr>
    </w:tbl>
    <w:p w:rsidR="00BA6061" w:rsidRDefault="00610DB9">
      <w:pPr>
        <w:pStyle w:val="ad"/>
        <w:rPr>
          <w:szCs w:val="21"/>
        </w:rPr>
      </w:pPr>
      <w:r>
        <w:rPr>
          <w:szCs w:val="21"/>
        </w:rPr>
        <w:t>注：</w:t>
      </w:r>
      <w:r>
        <w:rPr>
          <w:rFonts w:hint="eastAsia"/>
          <w:szCs w:val="21"/>
        </w:rPr>
        <w:t>L</w:t>
      </w:r>
      <w:r>
        <w:rPr>
          <w:rFonts w:hint="eastAsia"/>
          <w:szCs w:val="21"/>
        </w:rPr>
        <w:t>为钢管立柱长度</w:t>
      </w:r>
      <w:r>
        <w:rPr>
          <w:szCs w:val="21"/>
        </w:rPr>
        <w:t>或</w:t>
      </w:r>
      <w:r>
        <w:rPr>
          <w:rFonts w:hint="eastAsia"/>
          <w:szCs w:val="21"/>
        </w:rPr>
        <w:t>梁</w:t>
      </w:r>
      <w:r>
        <w:rPr>
          <w:szCs w:val="21"/>
        </w:rPr>
        <w:t>长，以</w:t>
      </w:r>
      <w:r>
        <w:rPr>
          <w:szCs w:val="21"/>
        </w:rPr>
        <w:t>mm</w:t>
      </w:r>
      <w:r>
        <w:rPr>
          <w:szCs w:val="21"/>
        </w:rPr>
        <w:t>计。</w:t>
      </w:r>
    </w:p>
    <w:p w:rsidR="00BA6061" w:rsidRDefault="00BA6061">
      <w:pPr>
        <w:pStyle w:val="ad"/>
        <w:rPr>
          <w:szCs w:val="21"/>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临时</w:t>
      </w:r>
      <w:proofErr w:type="gramStart"/>
      <w:r>
        <w:rPr>
          <w:rFonts w:ascii="宋体" w:eastAsia="宋体" w:hAnsi="宋体" w:cs="宋体" w:hint="eastAsia"/>
          <w:sz w:val="24"/>
          <w:szCs w:val="24"/>
        </w:rPr>
        <w:t>墩</w:t>
      </w:r>
      <w:proofErr w:type="gramEnd"/>
      <w:r>
        <w:rPr>
          <w:rFonts w:ascii="宋体" w:eastAsia="宋体" w:hAnsi="宋体" w:cs="宋体" w:hint="eastAsia"/>
          <w:sz w:val="24"/>
          <w:szCs w:val="24"/>
        </w:rPr>
        <w:t>混凝土扩大基础的检查项目、质量要求、检验方法和频率应符合表9.4.2的规定。</w:t>
      </w:r>
    </w:p>
    <w:p w:rsidR="00BA6061" w:rsidRDefault="00610DB9">
      <w:pPr>
        <w:ind w:firstLine="360"/>
        <w:jc w:val="center"/>
        <w:rPr>
          <w:rStyle w:val="ae"/>
          <w:rFonts w:ascii="黑体" w:hAnsi="黑体"/>
          <w:kern w:val="0"/>
          <w:szCs w:val="21"/>
        </w:rPr>
      </w:pPr>
      <w:r>
        <w:rPr>
          <w:rStyle w:val="ae"/>
          <w:rFonts w:ascii="黑体" w:hAnsi="黑体"/>
          <w:kern w:val="0"/>
          <w:szCs w:val="21"/>
        </w:rPr>
        <w:t>表</w:t>
      </w:r>
      <w:r>
        <w:rPr>
          <w:rStyle w:val="ae"/>
          <w:rFonts w:ascii="黑体" w:hAnsi="黑体" w:hint="eastAsia"/>
          <w:kern w:val="0"/>
          <w:szCs w:val="21"/>
        </w:rPr>
        <w:t>9.4.2</w:t>
      </w:r>
      <w:r>
        <w:rPr>
          <w:rStyle w:val="ae"/>
          <w:rFonts w:ascii="黑体" w:hAnsi="黑体"/>
          <w:kern w:val="0"/>
          <w:szCs w:val="21"/>
        </w:rPr>
        <w:t xml:space="preserve">  混凝土扩大基础</w:t>
      </w:r>
      <w:r>
        <w:rPr>
          <w:rStyle w:val="ae"/>
          <w:rFonts w:ascii="黑体" w:hAnsi="黑体" w:hint="eastAsia"/>
          <w:kern w:val="0"/>
          <w:szCs w:val="21"/>
        </w:rPr>
        <w:t>检验</w:t>
      </w:r>
      <w:r>
        <w:rPr>
          <w:rStyle w:val="ae"/>
          <w:rFonts w:ascii="黑体" w:hAnsi="黑体"/>
          <w:kern w:val="0"/>
          <w:szCs w:val="21"/>
        </w:rPr>
        <w:t>项目</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79"/>
        <w:gridCol w:w="2374"/>
        <w:gridCol w:w="2744"/>
        <w:gridCol w:w="2725"/>
      </w:tblGrid>
      <w:tr w:rsidR="00BA6061">
        <w:trPr>
          <w:trHeight w:val="340"/>
          <w:jc w:val="center"/>
        </w:trPr>
        <w:tc>
          <w:tcPr>
            <w:tcW w:w="398" w:type="pct"/>
            <w:vAlign w:val="center"/>
          </w:tcPr>
          <w:p w:rsidR="00BA6061" w:rsidRDefault="00610DB9">
            <w:pPr>
              <w:pStyle w:val="ad"/>
              <w:ind w:firstLineChars="0" w:firstLine="0"/>
              <w:jc w:val="center"/>
              <w:rPr>
                <w:rFonts w:ascii="宋体" w:hAnsi="宋体" w:cs="宋体"/>
                <w:b/>
                <w:bCs/>
                <w:szCs w:val="21"/>
              </w:rPr>
            </w:pPr>
            <w:r>
              <w:rPr>
                <w:rFonts w:ascii="宋体" w:hAnsi="宋体" w:cs="宋体" w:hint="eastAsia"/>
                <w:b/>
                <w:bCs/>
                <w:szCs w:val="21"/>
              </w:rPr>
              <w:t>项次</w:t>
            </w:r>
          </w:p>
        </w:tc>
        <w:tc>
          <w:tcPr>
            <w:tcW w:w="1393" w:type="pct"/>
            <w:vAlign w:val="center"/>
          </w:tcPr>
          <w:p w:rsidR="00BA6061" w:rsidRDefault="00610DB9">
            <w:pPr>
              <w:pStyle w:val="ad"/>
              <w:ind w:firstLineChars="0" w:firstLine="0"/>
              <w:jc w:val="center"/>
              <w:rPr>
                <w:rFonts w:ascii="宋体" w:hAnsi="宋体" w:cs="宋体"/>
                <w:b/>
                <w:bCs/>
                <w:szCs w:val="21"/>
              </w:rPr>
            </w:pPr>
            <w:r>
              <w:rPr>
                <w:rFonts w:ascii="宋体" w:hAnsi="宋体" w:cs="宋体" w:hint="eastAsia"/>
                <w:b/>
                <w:bCs/>
                <w:szCs w:val="21"/>
              </w:rPr>
              <w:t>检查项目</w:t>
            </w:r>
          </w:p>
        </w:tc>
        <w:tc>
          <w:tcPr>
            <w:tcW w:w="1610" w:type="pct"/>
            <w:vAlign w:val="center"/>
          </w:tcPr>
          <w:p w:rsidR="00BA6061" w:rsidRDefault="00610DB9">
            <w:pPr>
              <w:pStyle w:val="ad"/>
              <w:ind w:firstLineChars="0" w:firstLine="0"/>
              <w:jc w:val="center"/>
              <w:rPr>
                <w:rFonts w:ascii="宋体" w:hAnsi="宋体" w:cs="宋体"/>
                <w:b/>
                <w:bCs/>
                <w:szCs w:val="21"/>
              </w:rPr>
            </w:pPr>
            <w:r>
              <w:rPr>
                <w:rFonts w:ascii="宋体" w:hAnsi="宋体" w:cs="宋体" w:hint="eastAsia"/>
                <w:b/>
                <w:bCs/>
                <w:szCs w:val="21"/>
              </w:rPr>
              <w:t>规定值或允许偏差</w:t>
            </w:r>
          </w:p>
        </w:tc>
        <w:tc>
          <w:tcPr>
            <w:tcW w:w="1599" w:type="pct"/>
            <w:vAlign w:val="center"/>
          </w:tcPr>
          <w:p w:rsidR="00BA6061" w:rsidRDefault="00610DB9">
            <w:pPr>
              <w:pStyle w:val="ad"/>
              <w:ind w:firstLineChars="0" w:firstLine="0"/>
              <w:jc w:val="center"/>
              <w:rPr>
                <w:rFonts w:ascii="宋体" w:hAnsi="宋体" w:cs="宋体"/>
                <w:b/>
                <w:bCs/>
                <w:szCs w:val="21"/>
              </w:rPr>
            </w:pPr>
            <w:r>
              <w:rPr>
                <w:rFonts w:ascii="宋体" w:hAnsi="宋体" w:cs="宋体" w:hint="eastAsia"/>
                <w:b/>
                <w:bCs/>
                <w:szCs w:val="21"/>
              </w:rPr>
              <w:t>检查方法和频率</w:t>
            </w:r>
          </w:p>
        </w:tc>
      </w:tr>
      <w:tr w:rsidR="00BA6061">
        <w:trPr>
          <w:trHeight w:val="340"/>
          <w:jc w:val="center"/>
        </w:trPr>
        <w:tc>
          <w:tcPr>
            <w:tcW w:w="398"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1</w:t>
            </w:r>
          </w:p>
        </w:tc>
        <w:tc>
          <w:tcPr>
            <w:tcW w:w="1393"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混凝土强度（MPa）</w:t>
            </w:r>
          </w:p>
        </w:tc>
        <w:tc>
          <w:tcPr>
            <w:tcW w:w="1610"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在合格标准内</w:t>
            </w:r>
          </w:p>
        </w:tc>
        <w:tc>
          <w:tcPr>
            <w:tcW w:w="1599" w:type="pct"/>
            <w:vAlign w:val="center"/>
          </w:tcPr>
          <w:p w:rsidR="00BA6061" w:rsidRDefault="00610DB9">
            <w:pPr>
              <w:pStyle w:val="ad"/>
              <w:ind w:firstLineChars="0" w:firstLine="0"/>
              <w:rPr>
                <w:rFonts w:ascii="宋体" w:hAnsi="宋体" w:cs="宋体"/>
                <w:szCs w:val="21"/>
              </w:rPr>
            </w:pPr>
            <w:r>
              <w:rPr>
                <w:rFonts w:ascii="宋体" w:hAnsi="宋体" w:cs="宋体" w:hint="eastAsia"/>
                <w:szCs w:val="21"/>
              </w:rPr>
              <w:t>满足规范及设计要求</w:t>
            </w:r>
          </w:p>
        </w:tc>
      </w:tr>
      <w:tr w:rsidR="00BA6061">
        <w:trPr>
          <w:trHeight w:val="340"/>
          <w:jc w:val="center"/>
        </w:trPr>
        <w:tc>
          <w:tcPr>
            <w:tcW w:w="398"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2</w:t>
            </w:r>
          </w:p>
        </w:tc>
        <w:tc>
          <w:tcPr>
            <w:tcW w:w="1393"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平面尺寸（mm）</w:t>
            </w:r>
          </w:p>
        </w:tc>
        <w:tc>
          <w:tcPr>
            <w:tcW w:w="1610"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±50</w:t>
            </w:r>
          </w:p>
        </w:tc>
        <w:tc>
          <w:tcPr>
            <w:tcW w:w="1599" w:type="pct"/>
            <w:vAlign w:val="center"/>
          </w:tcPr>
          <w:p w:rsidR="00BA6061" w:rsidRDefault="00610DB9">
            <w:pPr>
              <w:pStyle w:val="ad"/>
              <w:ind w:firstLineChars="0" w:firstLine="0"/>
              <w:rPr>
                <w:rFonts w:ascii="宋体" w:hAnsi="宋体" w:cs="宋体"/>
                <w:szCs w:val="21"/>
              </w:rPr>
            </w:pPr>
            <w:r>
              <w:rPr>
                <w:rFonts w:ascii="宋体" w:hAnsi="宋体" w:cs="宋体" w:hint="eastAsia"/>
                <w:szCs w:val="21"/>
              </w:rPr>
              <w:t>尺量：长度、宽度各测3处</w:t>
            </w:r>
          </w:p>
        </w:tc>
      </w:tr>
      <w:tr w:rsidR="00BA6061">
        <w:trPr>
          <w:trHeight w:val="340"/>
          <w:jc w:val="center"/>
        </w:trPr>
        <w:tc>
          <w:tcPr>
            <w:tcW w:w="398" w:type="pct"/>
            <w:vAlign w:val="center"/>
          </w:tcPr>
          <w:p w:rsidR="00BA6061" w:rsidRDefault="00610DB9">
            <w:pPr>
              <w:pStyle w:val="ad"/>
              <w:ind w:firstLineChars="0" w:firstLine="0"/>
              <w:jc w:val="center"/>
              <w:rPr>
                <w:rFonts w:ascii="宋体" w:hAnsi="宋体" w:cs="宋体"/>
                <w:szCs w:val="21"/>
              </w:rPr>
            </w:pPr>
            <w:r>
              <w:rPr>
                <w:rFonts w:ascii="宋体" w:hAnsi="宋体" w:cs="宋体"/>
                <w:szCs w:val="21"/>
              </w:rPr>
              <w:t>3</w:t>
            </w:r>
          </w:p>
        </w:tc>
        <w:tc>
          <w:tcPr>
            <w:tcW w:w="1393"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基础顶面高程（mm）</w:t>
            </w:r>
          </w:p>
        </w:tc>
        <w:tc>
          <w:tcPr>
            <w:tcW w:w="1610"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±30</w:t>
            </w:r>
          </w:p>
        </w:tc>
        <w:tc>
          <w:tcPr>
            <w:tcW w:w="1599" w:type="pct"/>
            <w:vAlign w:val="center"/>
          </w:tcPr>
          <w:p w:rsidR="00BA6061" w:rsidRDefault="00610DB9">
            <w:pPr>
              <w:pStyle w:val="ad"/>
              <w:ind w:firstLineChars="0" w:firstLine="0"/>
              <w:rPr>
                <w:rFonts w:ascii="宋体" w:hAnsi="宋体" w:cs="宋体"/>
                <w:szCs w:val="21"/>
              </w:rPr>
            </w:pPr>
            <w:r>
              <w:rPr>
                <w:rFonts w:ascii="宋体" w:hAnsi="宋体" w:cs="宋体" w:hint="eastAsia"/>
                <w:szCs w:val="21"/>
              </w:rPr>
              <w:t>水准仪：测5处</w:t>
            </w:r>
          </w:p>
        </w:tc>
      </w:tr>
      <w:tr w:rsidR="00BA6061">
        <w:trPr>
          <w:trHeight w:val="340"/>
          <w:jc w:val="center"/>
        </w:trPr>
        <w:tc>
          <w:tcPr>
            <w:tcW w:w="398" w:type="pct"/>
            <w:vAlign w:val="center"/>
          </w:tcPr>
          <w:p w:rsidR="00BA6061" w:rsidRDefault="00610DB9">
            <w:pPr>
              <w:pStyle w:val="ad"/>
              <w:ind w:firstLineChars="0" w:firstLine="0"/>
              <w:jc w:val="center"/>
              <w:rPr>
                <w:rFonts w:ascii="宋体" w:hAnsi="宋体" w:cs="宋体"/>
                <w:szCs w:val="21"/>
              </w:rPr>
            </w:pPr>
            <w:r>
              <w:rPr>
                <w:rFonts w:ascii="宋体" w:hAnsi="宋体" w:cs="宋体"/>
                <w:szCs w:val="21"/>
              </w:rPr>
              <w:t>4</w:t>
            </w:r>
          </w:p>
        </w:tc>
        <w:tc>
          <w:tcPr>
            <w:tcW w:w="1393"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轴线偏位（mm）</w:t>
            </w:r>
          </w:p>
        </w:tc>
        <w:tc>
          <w:tcPr>
            <w:tcW w:w="1610"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≤25</w:t>
            </w:r>
          </w:p>
        </w:tc>
        <w:tc>
          <w:tcPr>
            <w:tcW w:w="1599" w:type="pct"/>
            <w:vAlign w:val="center"/>
          </w:tcPr>
          <w:p w:rsidR="00BA6061" w:rsidRDefault="00610DB9">
            <w:pPr>
              <w:pStyle w:val="ad"/>
              <w:ind w:firstLineChars="0" w:firstLine="0"/>
              <w:rPr>
                <w:rFonts w:ascii="宋体" w:hAnsi="宋体" w:cs="宋体"/>
                <w:szCs w:val="21"/>
              </w:rPr>
            </w:pPr>
            <w:r>
              <w:rPr>
                <w:rFonts w:ascii="宋体" w:hAnsi="宋体" w:cs="宋体" w:hint="eastAsia"/>
                <w:szCs w:val="21"/>
              </w:rPr>
              <w:t>全站仪：纵、横向各测2点</w:t>
            </w:r>
          </w:p>
        </w:tc>
      </w:tr>
      <w:tr w:rsidR="00BA6061">
        <w:trPr>
          <w:trHeight w:val="340"/>
          <w:jc w:val="center"/>
        </w:trPr>
        <w:tc>
          <w:tcPr>
            <w:tcW w:w="398" w:type="pct"/>
            <w:vAlign w:val="center"/>
          </w:tcPr>
          <w:p w:rsidR="00BA6061" w:rsidRDefault="00610DB9">
            <w:pPr>
              <w:pStyle w:val="ad"/>
              <w:ind w:firstLineChars="0" w:firstLine="0"/>
              <w:jc w:val="center"/>
              <w:rPr>
                <w:rFonts w:ascii="宋体" w:hAnsi="宋体" w:cs="宋体"/>
                <w:szCs w:val="21"/>
              </w:rPr>
            </w:pPr>
            <w:r>
              <w:rPr>
                <w:rFonts w:ascii="宋体" w:hAnsi="宋体" w:cs="宋体"/>
                <w:szCs w:val="21"/>
              </w:rPr>
              <w:t>5</w:t>
            </w:r>
          </w:p>
        </w:tc>
        <w:tc>
          <w:tcPr>
            <w:tcW w:w="1393"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预埋件位置/数量</w:t>
            </w:r>
          </w:p>
        </w:tc>
        <w:tc>
          <w:tcPr>
            <w:tcW w:w="1610"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符合设计要求</w:t>
            </w:r>
          </w:p>
        </w:tc>
        <w:tc>
          <w:tcPr>
            <w:tcW w:w="1599" w:type="pct"/>
            <w:vAlign w:val="center"/>
          </w:tcPr>
          <w:p w:rsidR="00BA6061" w:rsidRDefault="00610DB9">
            <w:pPr>
              <w:pStyle w:val="ad"/>
              <w:ind w:firstLineChars="0" w:firstLine="0"/>
              <w:rPr>
                <w:rFonts w:ascii="宋体" w:hAnsi="宋体" w:cs="宋体"/>
                <w:szCs w:val="21"/>
              </w:rPr>
            </w:pPr>
            <w:r>
              <w:rPr>
                <w:rFonts w:ascii="宋体" w:hAnsi="宋体" w:cs="宋体" w:hint="eastAsia"/>
                <w:szCs w:val="21"/>
              </w:rPr>
              <w:t>全站仪和尺量，全部</w:t>
            </w:r>
          </w:p>
        </w:tc>
      </w:tr>
    </w:tbl>
    <w:p w:rsidR="00BA6061" w:rsidRDefault="00BA6061">
      <w:pPr>
        <w:tabs>
          <w:tab w:val="left" w:pos="0"/>
        </w:tabs>
        <w:spacing w:line="360" w:lineRule="auto"/>
        <w:jc w:val="left"/>
        <w:rPr>
          <w:rFonts w:ascii="宋体" w:eastAsia="宋体" w:hAnsi="宋体" w:cs="宋体"/>
          <w:bCs/>
          <w:sz w:val="24"/>
          <w:szCs w:val="24"/>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临时</w:t>
      </w:r>
      <w:proofErr w:type="gramStart"/>
      <w:r>
        <w:rPr>
          <w:rFonts w:ascii="宋体" w:eastAsia="宋体" w:hAnsi="宋体" w:cs="宋体" w:hint="eastAsia"/>
          <w:sz w:val="24"/>
          <w:szCs w:val="24"/>
        </w:rPr>
        <w:t>墩</w:t>
      </w:r>
      <w:proofErr w:type="gramEnd"/>
      <w:r>
        <w:rPr>
          <w:rFonts w:ascii="宋体" w:eastAsia="宋体" w:hAnsi="宋体" w:cs="宋体" w:hint="eastAsia"/>
          <w:sz w:val="24"/>
          <w:szCs w:val="24"/>
        </w:rPr>
        <w:t>沉入桩基础的检查项目、质量要求、检验方法和频率应符合表9.4.3的规定。</w:t>
      </w:r>
    </w:p>
    <w:p w:rsidR="00BA6061" w:rsidRDefault="00610DB9">
      <w:pPr>
        <w:ind w:firstLine="360"/>
        <w:jc w:val="center"/>
        <w:rPr>
          <w:rStyle w:val="ae"/>
          <w:kern w:val="0"/>
          <w:szCs w:val="21"/>
        </w:rPr>
      </w:pPr>
      <w:bookmarkStart w:id="97" w:name="_GoBack"/>
      <w:bookmarkEnd w:id="97"/>
      <w:r>
        <w:rPr>
          <w:rStyle w:val="ae"/>
          <w:rFonts w:ascii="黑体" w:hAnsi="黑体"/>
          <w:kern w:val="0"/>
          <w:szCs w:val="21"/>
        </w:rPr>
        <w:t>表</w:t>
      </w:r>
      <w:r>
        <w:rPr>
          <w:rStyle w:val="ae"/>
          <w:rFonts w:ascii="黑体" w:hAnsi="黑体" w:hint="eastAsia"/>
          <w:kern w:val="0"/>
          <w:szCs w:val="21"/>
        </w:rPr>
        <w:t>9.4</w:t>
      </w:r>
      <w:r>
        <w:rPr>
          <w:rStyle w:val="ae"/>
          <w:rFonts w:ascii="黑体" w:hAnsi="黑体"/>
          <w:kern w:val="0"/>
          <w:szCs w:val="21"/>
        </w:rPr>
        <w:t>.</w:t>
      </w:r>
      <w:r>
        <w:rPr>
          <w:rStyle w:val="ae"/>
          <w:rFonts w:ascii="黑体" w:hAnsi="黑体" w:hint="eastAsia"/>
          <w:kern w:val="0"/>
          <w:szCs w:val="21"/>
        </w:rPr>
        <w:t xml:space="preserve">3 </w:t>
      </w:r>
      <w:r>
        <w:rPr>
          <w:rStyle w:val="ae"/>
          <w:rFonts w:ascii="黑体" w:hAnsi="黑体"/>
          <w:kern w:val="0"/>
          <w:szCs w:val="21"/>
        </w:rPr>
        <w:t xml:space="preserve"> 沉</w:t>
      </w:r>
      <w:r>
        <w:rPr>
          <w:rStyle w:val="ae"/>
          <w:rFonts w:ascii="黑体" w:hAnsi="黑体" w:hint="eastAsia"/>
          <w:kern w:val="0"/>
          <w:szCs w:val="21"/>
        </w:rPr>
        <w:t>入</w:t>
      </w:r>
      <w:r>
        <w:rPr>
          <w:rStyle w:val="ae"/>
          <w:rFonts w:ascii="黑体" w:hAnsi="黑体"/>
          <w:kern w:val="0"/>
          <w:szCs w:val="21"/>
        </w:rPr>
        <w:t>桩</w:t>
      </w:r>
      <w:r>
        <w:rPr>
          <w:rStyle w:val="ae"/>
          <w:rFonts w:ascii="黑体" w:hAnsi="黑体" w:hint="eastAsia"/>
          <w:kern w:val="0"/>
          <w:szCs w:val="21"/>
        </w:rPr>
        <w:t>检验</w:t>
      </w:r>
      <w:r>
        <w:rPr>
          <w:rStyle w:val="ae"/>
          <w:rFonts w:ascii="黑体" w:hAnsi="黑体"/>
          <w:kern w:val="0"/>
          <w:szCs w:val="21"/>
        </w:rPr>
        <w:t>项目</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15"/>
        <w:gridCol w:w="846"/>
        <w:gridCol w:w="1053"/>
        <w:gridCol w:w="1136"/>
        <w:gridCol w:w="1970"/>
        <w:gridCol w:w="2902"/>
      </w:tblGrid>
      <w:tr w:rsidR="00BA6061">
        <w:trPr>
          <w:trHeight w:val="340"/>
          <w:tblHeader/>
          <w:jc w:val="center"/>
        </w:trPr>
        <w:tc>
          <w:tcPr>
            <w:tcW w:w="361" w:type="pct"/>
            <w:vAlign w:val="center"/>
          </w:tcPr>
          <w:p w:rsidR="00BA6061" w:rsidRDefault="00610DB9">
            <w:pPr>
              <w:pStyle w:val="ad"/>
              <w:ind w:firstLineChars="0" w:firstLine="0"/>
              <w:jc w:val="center"/>
              <w:rPr>
                <w:rFonts w:ascii="宋体" w:hAnsi="宋体" w:cs="宋体"/>
                <w:b/>
                <w:bCs/>
                <w:szCs w:val="21"/>
              </w:rPr>
            </w:pPr>
            <w:r>
              <w:rPr>
                <w:rFonts w:ascii="宋体" w:hAnsi="宋体" w:cs="宋体" w:hint="eastAsia"/>
                <w:b/>
                <w:bCs/>
                <w:szCs w:val="21"/>
              </w:rPr>
              <w:t>项次</w:t>
            </w:r>
          </w:p>
        </w:tc>
        <w:tc>
          <w:tcPr>
            <w:tcW w:w="1774" w:type="pct"/>
            <w:gridSpan w:val="3"/>
            <w:vAlign w:val="center"/>
          </w:tcPr>
          <w:p w:rsidR="00BA6061" w:rsidRDefault="00610DB9">
            <w:pPr>
              <w:pStyle w:val="ad"/>
              <w:ind w:firstLineChars="0" w:firstLine="0"/>
              <w:jc w:val="center"/>
              <w:rPr>
                <w:rFonts w:ascii="宋体" w:hAnsi="宋体" w:cs="宋体"/>
                <w:b/>
                <w:bCs/>
                <w:szCs w:val="21"/>
              </w:rPr>
            </w:pPr>
            <w:r>
              <w:rPr>
                <w:rFonts w:ascii="宋体" w:hAnsi="宋体" w:cs="宋体" w:hint="eastAsia"/>
                <w:b/>
                <w:bCs/>
                <w:szCs w:val="21"/>
              </w:rPr>
              <w:t>检查项目</w:t>
            </w:r>
          </w:p>
        </w:tc>
        <w:tc>
          <w:tcPr>
            <w:tcW w:w="1156" w:type="pct"/>
            <w:vAlign w:val="center"/>
          </w:tcPr>
          <w:p w:rsidR="00BA6061" w:rsidRDefault="00610DB9">
            <w:pPr>
              <w:pStyle w:val="ad"/>
              <w:ind w:firstLineChars="0" w:firstLine="0"/>
              <w:jc w:val="center"/>
              <w:rPr>
                <w:rFonts w:ascii="宋体" w:hAnsi="宋体" w:cs="宋体"/>
                <w:b/>
                <w:bCs/>
                <w:szCs w:val="21"/>
              </w:rPr>
            </w:pPr>
            <w:r>
              <w:rPr>
                <w:rFonts w:ascii="宋体" w:hAnsi="宋体" w:cs="宋体" w:hint="eastAsia"/>
                <w:b/>
                <w:bCs/>
                <w:szCs w:val="21"/>
              </w:rPr>
              <w:t>规定值或允许偏差</w:t>
            </w:r>
          </w:p>
        </w:tc>
        <w:tc>
          <w:tcPr>
            <w:tcW w:w="1709" w:type="pct"/>
            <w:vAlign w:val="center"/>
          </w:tcPr>
          <w:p w:rsidR="00BA6061" w:rsidRDefault="00610DB9">
            <w:pPr>
              <w:pStyle w:val="ad"/>
              <w:ind w:firstLineChars="0" w:firstLine="0"/>
              <w:jc w:val="center"/>
              <w:rPr>
                <w:rFonts w:ascii="宋体" w:hAnsi="宋体" w:cs="宋体"/>
                <w:b/>
                <w:bCs/>
                <w:szCs w:val="21"/>
              </w:rPr>
            </w:pPr>
            <w:r>
              <w:rPr>
                <w:rFonts w:ascii="宋体" w:hAnsi="宋体" w:cs="宋体" w:hint="eastAsia"/>
                <w:b/>
                <w:bCs/>
                <w:szCs w:val="21"/>
              </w:rPr>
              <w:t>检查方法和频率</w:t>
            </w:r>
          </w:p>
        </w:tc>
      </w:tr>
      <w:tr w:rsidR="00BA6061">
        <w:trPr>
          <w:trHeight w:val="340"/>
          <w:jc w:val="center"/>
        </w:trPr>
        <w:tc>
          <w:tcPr>
            <w:tcW w:w="363" w:type="pct"/>
            <w:vMerge w:val="restar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1</w:t>
            </w:r>
          </w:p>
        </w:tc>
        <w:tc>
          <w:tcPr>
            <w:tcW w:w="485" w:type="pct"/>
            <w:vMerge w:val="restar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桩位</w:t>
            </w:r>
          </w:p>
          <w:p w:rsidR="00BA6061" w:rsidRDefault="00610DB9">
            <w:pPr>
              <w:pStyle w:val="ad"/>
              <w:ind w:firstLineChars="0" w:firstLine="0"/>
              <w:jc w:val="center"/>
              <w:rPr>
                <w:rFonts w:ascii="宋体" w:hAnsi="宋体" w:cs="宋体"/>
                <w:szCs w:val="21"/>
              </w:rPr>
            </w:pPr>
            <w:r>
              <w:rPr>
                <w:rFonts w:ascii="宋体" w:hAnsi="宋体" w:cs="宋体" w:hint="eastAsia"/>
                <w:szCs w:val="21"/>
              </w:rPr>
              <w:t>（mm）</w:t>
            </w:r>
          </w:p>
        </w:tc>
        <w:tc>
          <w:tcPr>
            <w:tcW w:w="1" w:type="pct"/>
            <w:gridSpan w:val="2"/>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群桩</w:t>
            </w:r>
          </w:p>
        </w:tc>
        <w:tc>
          <w:tcPr>
            <w:tcW w:w="1158"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≤D/2且≤250</w:t>
            </w:r>
          </w:p>
        </w:tc>
        <w:tc>
          <w:tcPr>
            <w:tcW w:w="1754" w:type="pct"/>
            <w:vMerge w:val="restar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全站仪：抽查20%桩，测桩中心坐标</w:t>
            </w:r>
          </w:p>
        </w:tc>
      </w:tr>
      <w:tr w:rsidR="00BA6061">
        <w:trPr>
          <w:trHeight w:val="340"/>
          <w:jc w:val="center"/>
        </w:trPr>
        <w:tc>
          <w:tcPr>
            <w:tcW w:w="361" w:type="pct"/>
            <w:vMerge/>
            <w:vAlign w:val="center"/>
          </w:tcPr>
          <w:p w:rsidR="00BA6061" w:rsidRDefault="00BA6061">
            <w:pPr>
              <w:pStyle w:val="ad"/>
              <w:ind w:firstLineChars="0" w:firstLine="0"/>
              <w:jc w:val="center"/>
              <w:rPr>
                <w:rFonts w:ascii="宋体" w:hAnsi="宋体" w:cs="宋体"/>
                <w:szCs w:val="21"/>
              </w:rPr>
            </w:pPr>
          </w:p>
        </w:tc>
        <w:tc>
          <w:tcPr>
            <w:tcW w:w="496" w:type="pct"/>
            <w:vMerge/>
            <w:vAlign w:val="center"/>
          </w:tcPr>
          <w:p w:rsidR="00BA6061" w:rsidRDefault="00BA6061">
            <w:pPr>
              <w:pStyle w:val="ad"/>
              <w:ind w:firstLineChars="0" w:firstLine="0"/>
              <w:jc w:val="center"/>
              <w:rPr>
                <w:rFonts w:ascii="宋体" w:hAnsi="宋体" w:cs="宋体"/>
                <w:szCs w:val="21"/>
              </w:rPr>
            </w:pPr>
          </w:p>
        </w:tc>
        <w:tc>
          <w:tcPr>
            <w:tcW w:w="1" w:type="pct"/>
            <w:gridSpan w:val="2"/>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排架桩</w:t>
            </w:r>
          </w:p>
        </w:tc>
        <w:tc>
          <w:tcPr>
            <w:tcW w:w="1156"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≤50</w:t>
            </w:r>
          </w:p>
        </w:tc>
        <w:tc>
          <w:tcPr>
            <w:tcW w:w="1716" w:type="pct"/>
            <w:vMerge/>
            <w:vAlign w:val="center"/>
          </w:tcPr>
          <w:p w:rsidR="00BA6061" w:rsidRDefault="00BA6061">
            <w:pPr>
              <w:pStyle w:val="ad"/>
              <w:ind w:firstLineChars="0" w:firstLine="0"/>
              <w:jc w:val="center"/>
              <w:rPr>
                <w:rFonts w:ascii="宋体" w:hAnsi="宋体" w:cs="宋体"/>
                <w:szCs w:val="21"/>
              </w:rPr>
            </w:pPr>
          </w:p>
        </w:tc>
      </w:tr>
      <w:tr w:rsidR="00BA6061">
        <w:trPr>
          <w:trHeight w:val="340"/>
          <w:jc w:val="center"/>
        </w:trPr>
        <w:tc>
          <w:tcPr>
            <w:tcW w:w="361"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2</w:t>
            </w:r>
          </w:p>
        </w:tc>
        <w:tc>
          <w:tcPr>
            <w:tcW w:w="1774" w:type="pct"/>
            <w:gridSpan w:val="3"/>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桩底高程（mm）</w:t>
            </w:r>
          </w:p>
        </w:tc>
        <w:tc>
          <w:tcPr>
            <w:tcW w:w="1156"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≤设计值</w:t>
            </w:r>
          </w:p>
        </w:tc>
        <w:tc>
          <w:tcPr>
            <w:tcW w:w="1709" w:type="pct"/>
            <w:vAlign w:val="center"/>
          </w:tcPr>
          <w:p w:rsidR="00BA6061" w:rsidRDefault="00610DB9">
            <w:pPr>
              <w:pStyle w:val="ad"/>
              <w:ind w:firstLineChars="0" w:firstLine="0"/>
              <w:rPr>
                <w:rFonts w:ascii="宋体" w:hAnsi="宋体" w:cs="宋体"/>
                <w:szCs w:val="21"/>
              </w:rPr>
            </w:pPr>
            <w:r>
              <w:rPr>
                <w:rFonts w:ascii="宋体" w:hAnsi="宋体" w:cs="宋体" w:hint="eastAsia"/>
                <w:szCs w:val="21"/>
              </w:rPr>
              <w:t>水准仪测桩顶面高程</w:t>
            </w:r>
            <w:proofErr w:type="gramStart"/>
            <w:r>
              <w:rPr>
                <w:rFonts w:ascii="宋体" w:hAnsi="宋体" w:cs="宋体" w:hint="eastAsia"/>
                <w:szCs w:val="21"/>
              </w:rPr>
              <w:t>后反算</w:t>
            </w:r>
            <w:proofErr w:type="gramEnd"/>
          </w:p>
        </w:tc>
      </w:tr>
      <w:tr w:rsidR="00BA6061">
        <w:trPr>
          <w:trHeight w:val="340"/>
          <w:jc w:val="center"/>
        </w:trPr>
        <w:tc>
          <w:tcPr>
            <w:tcW w:w="361"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3</w:t>
            </w:r>
          </w:p>
        </w:tc>
        <w:tc>
          <w:tcPr>
            <w:tcW w:w="1774" w:type="pct"/>
            <w:gridSpan w:val="3"/>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贯入度（mm）</w:t>
            </w:r>
          </w:p>
        </w:tc>
        <w:tc>
          <w:tcPr>
            <w:tcW w:w="1156"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≤设计值</w:t>
            </w:r>
          </w:p>
        </w:tc>
        <w:tc>
          <w:tcPr>
            <w:tcW w:w="1709" w:type="pct"/>
            <w:vAlign w:val="center"/>
          </w:tcPr>
          <w:p w:rsidR="00BA6061" w:rsidRDefault="00610DB9">
            <w:pPr>
              <w:pStyle w:val="ad"/>
              <w:ind w:firstLineChars="0" w:firstLine="0"/>
              <w:rPr>
                <w:rFonts w:ascii="宋体" w:hAnsi="宋体" w:cs="宋体"/>
                <w:szCs w:val="21"/>
              </w:rPr>
            </w:pPr>
            <w:r>
              <w:rPr>
                <w:rFonts w:ascii="宋体" w:hAnsi="宋体" w:cs="宋体" w:hint="eastAsia"/>
                <w:szCs w:val="21"/>
              </w:rPr>
              <w:t>与控制</w:t>
            </w:r>
            <w:proofErr w:type="gramStart"/>
            <w:r>
              <w:rPr>
                <w:rFonts w:ascii="宋体" w:hAnsi="宋体" w:cs="宋体" w:hint="eastAsia"/>
                <w:szCs w:val="21"/>
              </w:rPr>
              <w:t>贯入度比较</w:t>
            </w:r>
            <w:proofErr w:type="gramEnd"/>
            <w:r>
              <w:rPr>
                <w:rFonts w:ascii="宋体" w:hAnsi="宋体" w:cs="宋体" w:hint="eastAsia"/>
                <w:szCs w:val="21"/>
              </w:rPr>
              <w:t>：每桩测量</w:t>
            </w:r>
          </w:p>
        </w:tc>
      </w:tr>
      <w:tr w:rsidR="00BA6061">
        <w:trPr>
          <w:trHeight w:val="340"/>
          <w:jc w:val="center"/>
        </w:trPr>
        <w:tc>
          <w:tcPr>
            <w:tcW w:w="361" w:type="pct"/>
            <w:vMerge w:val="restar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4</w:t>
            </w:r>
          </w:p>
        </w:tc>
        <w:tc>
          <w:tcPr>
            <w:tcW w:w="1105" w:type="pct"/>
            <w:gridSpan w:val="2"/>
            <w:vMerge w:val="restar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倾斜度（%）</w:t>
            </w:r>
          </w:p>
        </w:tc>
        <w:tc>
          <w:tcPr>
            <w:tcW w:w="669"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直桩</w:t>
            </w:r>
          </w:p>
        </w:tc>
        <w:tc>
          <w:tcPr>
            <w:tcW w:w="1156"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≤1</w:t>
            </w:r>
          </w:p>
        </w:tc>
        <w:tc>
          <w:tcPr>
            <w:tcW w:w="1709" w:type="pct"/>
            <w:vMerge w:val="restart"/>
            <w:vAlign w:val="center"/>
          </w:tcPr>
          <w:p w:rsidR="00BA6061" w:rsidRDefault="00610DB9">
            <w:pPr>
              <w:pStyle w:val="ad"/>
              <w:ind w:firstLineChars="0" w:firstLine="0"/>
              <w:rPr>
                <w:rFonts w:ascii="宋体" w:hAnsi="宋体" w:cs="宋体"/>
                <w:szCs w:val="21"/>
              </w:rPr>
            </w:pPr>
            <w:r>
              <w:rPr>
                <w:rFonts w:ascii="宋体" w:hAnsi="宋体" w:cs="宋体" w:hint="eastAsia"/>
                <w:szCs w:val="21"/>
              </w:rPr>
              <w:t>铅锤法：每桩测量</w:t>
            </w:r>
          </w:p>
        </w:tc>
      </w:tr>
      <w:tr w:rsidR="00BA6061">
        <w:trPr>
          <w:trHeight w:val="340"/>
          <w:jc w:val="center"/>
        </w:trPr>
        <w:tc>
          <w:tcPr>
            <w:tcW w:w="361" w:type="pct"/>
            <w:vMerge/>
            <w:vAlign w:val="center"/>
          </w:tcPr>
          <w:p w:rsidR="00BA6061" w:rsidRDefault="00BA6061">
            <w:pPr>
              <w:pStyle w:val="ad"/>
              <w:ind w:firstLineChars="0" w:firstLine="0"/>
              <w:jc w:val="center"/>
              <w:rPr>
                <w:rFonts w:ascii="宋体" w:hAnsi="宋体" w:cs="宋体"/>
                <w:szCs w:val="21"/>
              </w:rPr>
            </w:pPr>
          </w:p>
        </w:tc>
        <w:tc>
          <w:tcPr>
            <w:tcW w:w="1105" w:type="pct"/>
            <w:gridSpan w:val="2"/>
            <w:vMerge/>
            <w:vAlign w:val="center"/>
          </w:tcPr>
          <w:p w:rsidR="00BA6061" w:rsidRDefault="00BA6061">
            <w:pPr>
              <w:pStyle w:val="ad"/>
              <w:ind w:firstLineChars="0" w:firstLine="0"/>
              <w:jc w:val="center"/>
              <w:rPr>
                <w:rFonts w:ascii="宋体" w:hAnsi="宋体" w:cs="宋体"/>
                <w:szCs w:val="21"/>
              </w:rPr>
            </w:pPr>
          </w:p>
        </w:tc>
        <w:tc>
          <w:tcPr>
            <w:tcW w:w="669"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斜桩</w:t>
            </w:r>
          </w:p>
        </w:tc>
        <w:tc>
          <w:tcPr>
            <w:tcW w:w="1156"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≤15tanθ</w:t>
            </w:r>
          </w:p>
        </w:tc>
        <w:tc>
          <w:tcPr>
            <w:tcW w:w="1709" w:type="pct"/>
            <w:vMerge/>
            <w:vAlign w:val="center"/>
          </w:tcPr>
          <w:p w:rsidR="00BA6061" w:rsidRDefault="00BA6061">
            <w:pPr>
              <w:pStyle w:val="ad"/>
              <w:ind w:firstLineChars="0" w:firstLine="0"/>
              <w:jc w:val="center"/>
              <w:rPr>
                <w:rFonts w:ascii="宋体" w:hAnsi="宋体" w:cs="宋体"/>
                <w:szCs w:val="21"/>
              </w:rPr>
            </w:pPr>
          </w:p>
        </w:tc>
      </w:tr>
    </w:tbl>
    <w:p w:rsidR="00BA6061" w:rsidRDefault="00610DB9">
      <w:pPr>
        <w:pStyle w:val="ad"/>
        <w:rPr>
          <w:szCs w:val="21"/>
        </w:rPr>
      </w:pPr>
      <w:r>
        <w:rPr>
          <w:szCs w:val="21"/>
        </w:rPr>
        <w:t>注：</w:t>
      </w:r>
      <w:r>
        <w:rPr>
          <w:szCs w:val="21"/>
        </w:rPr>
        <w:t>1.D</w:t>
      </w:r>
      <w:r>
        <w:rPr>
          <w:szCs w:val="21"/>
        </w:rPr>
        <w:t>为桩径或短边长度，以</w:t>
      </w:r>
      <w:r>
        <w:rPr>
          <w:szCs w:val="21"/>
        </w:rPr>
        <w:t>mm</w:t>
      </w:r>
      <w:r>
        <w:rPr>
          <w:szCs w:val="21"/>
        </w:rPr>
        <w:t>计。</w:t>
      </w:r>
    </w:p>
    <w:p w:rsidR="00BA6061" w:rsidRDefault="00610DB9">
      <w:pPr>
        <w:pStyle w:val="ad"/>
        <w:ind w:left="420"/>
        <w:rPr>
          <w:szCs w:val="21"/>
        </w:rPr>
      </w:pPr>
      <w:r>
        <w:rPr>
          <w:szCs w:val="21"/>
        </w:rPr>
        <w:t>2.θ</w:t>
      </w:r>
      <w:r>
        <w:rPr>
          <w:szCs w:val="21"/>
        </w:rPr>
        <w:t>为斜桩与垂线间的夹角。</w:t>
      </w:r>
    </w:p>
    <w:p w:rsidR="00BA6061" w:rsidRDefault="00BA6061">
      <w:pPr>
        <w:pStyle w:val="ad"/>
        <w:ind w:left="420"/>
        <w:rPr>
          <w:szCs w:val="21"/>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导梁结构的材质、规格尺寸、焊缝质量应按</w:t>
      </w:r>
      <w:proofErr w:type="gramStart"/>
      <w:r>
        <w:rPr>
          <w:rFonts w:ascii="宋体" w:eastAsia="宋体" w:hAnsi="宋体" w:cs="宋体" w:hint="eastAsia"/>
          <w:sz w:val="24"/>
          <w:szCs w:val="24"/>
        </w:rPr>
        <w:t>现行行业</w:t>
      </w:r>
      <w:proofErr w:type="gramEnd"/>
      <w:r>
        <w:rPr>
          <w:rFonts w:ascii="宋体" w:eastAsia="宋体" w:hAnsi="宋体" w:cs="宋体" w:hint="eastAsia"/>
          <w:sz w:val="24"/>
          <w:szCs w:val="24"/>
        </w:rPr>
        <w:t>标准《公路钢结构桥梁制造和安装施工规范》JTG/T 3651的规定进行质量检验验收。</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导梁安装检验应符合表9.4.5的规定。</w:t>
      </w:r>
    </w:p>
    <w:p w:rsidR="00BA6061" w:rsidRDefault="00610DB9">
      <w:pPr>
        <w:ind w:firstLine="360"/>
        <w:jc w:val="center"/>
        <w:rPr>
          <w:rStyle w:val="ae"/>
          <w:rFonts w:ascii="黑体" w:hAnsi="黑体"/>
          <w:kern w:val="0"/>
          <w:szCs w:val="21"/>
        </w:rPr>
      </w:pPr>
      <w:r>
        <w:rPr>
          <w:rStyle w:val="ae"/>
          <w:rFonts w:ascii="黑体" w:hAnsi="黑体"/>
          <w:kern w:val="0"/>
          <w:szCs w:val="21"/>
        </w:rPr>
        <w:t>表</w:t>
      </w:r>
      <w:r>
        <w:rPr>
          <w:rStyle w:val="ae"/>
          <w:rFonts w:ascii="黑体" w:hAnsi="黑体" w:hint="eastAsia"/>
          <w:kern w:val="0"/>
          <w:szCs w:val="21"/>
        </w:rPr>
        <w:t>9.4</w:t>
      </w:r>
      <w:r>
        <w:rPr>
          <w:rStyle w:val="ae"/>
          <w:rFonts w:ascii="黑体" w:hAnsi="黑体"/>
          <w:kern w:val="0"/>
          <w:szCs w:val="21"/>
        </w:rPr>
        <w:t>.</w:t>
      </w:r>
      <w:r>
        <w:rPr>
          <w:rStyle w:val="ae"/>
          <w:rFonts w:ascii="黑体" w:hAnsi="黑体" w:hint="eastAsia"/>
          <w:kern w:val="0"/>
          <w:szCs w:val="21"/>
        </w:rPr>
        <w:t>5</w:t>
      </w:r>
      <w:r>
        <w:rPr>
          <w:rStyle w:val="ae"/>
          <w:rFonts w:ascii="黑体" w:hAnsi="黑体"/>
          <w:kern w:val="0"/>
          <w:szCs w:val="21"/>
        </w:rPr>
        <w:t xml:space="preserve">  导梁安装</w:t>
      </w:r>
      <w:r>
        <w:rPr>
          <w:rStyle w:val="ae"/>
          <w:rFonts w:ascii="黑体" w:hAnsi="黑体" w:hint="eastAsia"/>
          <w:kern w:val="0"/>
          <w:szCs w:val="21"/>
        </w:rPr>
        <w:t>检验</w:t>
      </w:r>
      <w:r>
        <w:rPr>
          <w:rStyle w:val="ae"/>
          <w:rFonts w:ascii="黑体" w:hAnsi="黑体"/>
          <w:kern w:val="0"/>
          <w:szCs w:val="21"/>
        </w:rPr>
        <w:t>项目</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85"/>
        <w:gridCol w:w="1943"/>
        <w:gridCol w:w="2042"/>
        <w:gridCol w:w="3852"/>
      </w:tblGrid>
      <w:tr w:rsidR="00BA6061">
        <w:trPr>
          <w:trHeight w:val="340"/>
          <w:jc w:val="center"/>
        </w:trPr>
        <w:tc>
          <w:tcPr>
            <w:tcW w:w="402" w:type="pct"/>
            <w:vAlign w:val="center"/>
          </w:tcPr>
          <w:p w:rsidR="00BA6061" w:rsidRDefault="00610DB9">
            <w:pPr>
              <w:pStyle w:val="ad"/>
              <w:ind w:firstLineChars="0" w:firstLine="0"/>
              <w:jc w:val="center"/>
              <w:rPr>
                <w:rFonts w:ascii="宋体" w:hAnsi="宋体" w:cs="宋体"/>
                <w:b/>
                <w:bCs/>
                <w:szCs w:val="21"/>
              </w:rPr>
            </w:pPr>
            <w:r>
              <w:rPr>
                <w:rFonts w:ascii="宋体" w:hAnsi="宋体" w:cs="宋体" w:hint="eastAsia"/>
                <w:b/>
                <w:bCs/>
                <w:szCs w:val="21"/>
              </w:rPr>
              <w:t>项次</w:t>
            </w:r>
          </w:p>
        </w:tc>
        <w:tc>
          <w:tcPr>
            <w:tcW w:w="1140" w:type="pct"/>
            <w:vAlign w:val="center"/>
          </w:tcPr>
          <w:p w:rsidR="00BA6061" w:rsidRDefault="00610DB9">
            <w:pPr>
              <w:pStyle w:val="ad"/>
              <w:ind w:firstLineChars="0" w:firstLine="0"/>
              <w:jc w:val="center"/>
              <w:rPr>
                <w:rFonts w:ascii="宋体" w:hAnsi="宋体" w:cs="宋体"/>
                <w:b/>
                <w:bCs/>
                <w:szCs w:val="21"/>
              </w:rPr>
            </w:pPr>
            <w:r>
              <w:rPr>
                <w:rFonts w:ascii="宋体" w:hAnsi="宋体" w:cs="宋体" w:hint="eastAsia"/>
                <w:b/>
                <w:bCs/>
                <w:szCs w:val="21"/>
              </w:rPr>
              <w:t>检查项目</w:t>
            </w:r>
          </w:p>
        </w:tc>
        <w:tc>
          <w:tcPr>
            <w:tcW w:w="1198" w:type="pct"/>
            <w:vAlign w:val="center"/>
          </w:tcPr>
          <w:p w:rsidR="00BA6061" w:rsidRDefault="00610DB9">
            <w:pPr>
              <w:pStyle w:val="ad"/>
              <w:ind w:firstLineChars="0" w:firstLine="0"/>
              <w:jc w:val="center"/>
              <w:rPr>
                <w:rFonts w:ascii="宋体" w:hAnsi="宋体" w:cs="宋体"/>
                <w:b/>
                <w:bCs/>
                <w:szCs w:val="21"/>
              </w:rPr>
            </w:pPr>
            <w:r>
              <w:rPr>
                <w:rFonts w:ascii="宋体" w:hAnsi="宋体" w:cs="宋体" w:hint="eastAsia"/>
                <w:b/>
                <w:bCs/>
                <w:szCs w:val="21"/>
              </w:rPr>
              <w:t>规定值或允许偏差</w:t>
            </w:r>
          </w:p>
        </w:tc>
        <w:tc>
          <w:tcPr>
            <w:tcW w:w="2260" w:type="pct"/>
            <w:vAlign w:val="center"/>
          </w:tcPr>
          <w:p w:rsidR="00BA6061" w:rsidRDefault="00610DB9">
            <w:pPr>
              <w:pStyle w:val="ad"/>
              <w:ind w:firstLineChars="0" w:firstLine="0"/>
              <w:jc w:val="center"/>
              <w:rPr>
                <w:rFonts w:ascii="宋体" w:hAnsi="宋体" w:cs="宋体"/>
                <w:b/>
                <w:bCs/>
                <w:szCs w:val="21"/>
              </w:rPr>
            </w:pPr>
            <w:r>
              <w:rPr>
                <w:rFonts w:ascii="宋体" w:hAnsi="宋体" w:cs="宋体" w:hint="eastAsia"/>
                <w:b/>
                <w:bCs/>
                <w:szCs w:val="21"/>
              </w:rPr>
              <w:t>检查方法和频率</w:t>
            </w:r>
          </w:p>
        </w:tc>
      </w:tr>
      <w:tr w:rsidR="00BA6061">
        <w:trPr>
          <w:trHeight w:val="340"/>
          <w:jc w:val="center"/>
        </w:trPr>
        <w:tc>
          <w:tcPr>
            <w:tcW w:w="402"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1</w:t>
            </w:r>
          </w:p>
        </w:tc>
        <w:tc>
          <w:tcPr>
            <w:tcW w:w="1140"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轴线偏位（mm）</w:t>
            </w:r>
          </w:p>
        </w:tc>
        <w:tc>
          <w:tcPr>
            <w:tcW w:w="1198"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≤10</w:t>
            </w:r>
          </w:p>
        </w:tc>
        <w:tc>
          <w:tcPr>
            <w:tcW w:w="2260" w:type="pct"/>
            <w:vAlign w:val="center"/>
          </w:tcPr>
          <w:p w:rsidR="00BA6061" w:rsidRDefault="00610DB9">
            <w:pPr>
              <w:pStyle w:val="ad"/>
              <w:ind w:firstLineChars="0" w:firstLine="0"/>
              <w:rPr>
                <w:rFonts w:ascii="宋体" w:hAnsi="宋体" w:cs="宋体"/>
                <w:szCs w:val="21"/>
              </w:rPr>
            </w:pPr>
            <w:r>
              <w:rPr>
                <w:rFonts w:ascii="宋体" w:hAnsi="宋体" w:cs="宋体" w:hint="eastAsia"/>
                <w:szCs w:val="21"/>
              </w:rPr>
              <w:t>全站仪：每段测3处</w:t>
            </w:r>
          </w:p>
        </w:tc>
      </w:tr>
      <w:tr w:rsidR="00BA6061">
        <w:trPr>
          <w:trHeight w:val="340"/>
          <w:jc w:val="center"/>
        </w:trPr>
        <w:tc>
          <w:tcPr>
            <w:tcW w:w="402"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2</w:t>
            </w:r>
          </w:p>
        </w:tc>
        <w:tc>
          <w:tcPr>
            <w:tcW w:w="1140"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对接错边（mm）</w:t>
            </w:r>
          </w:p>
        </w:tc>
        <w:tc>
          <w:tcPr>
            <w:tcW w:w="1198"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≤2</w:t>
            </w:r>
          </w:p>
        </w:tc>
        <w:tc>
          <w:tcPr>
            <w:tcW w:w="2260" w:type="pct"/>
            <w:vAlign w:val="center"/>
          </w:tcPr>
          <w:p w:rsidR="00BA6061" w:rsidRDefault="00610DB9">
            <w:pPr>
              <w:pStyle w:val="ad"/>
              <w:ind w:firstLineChars="0" w:firstLine="0"/>
              <w:rPr>
                <w:rFonts w:ascii="宋体" w:hAnsi="宋体" w:cs="宋体"/>
                <w:szCs w:val="21"/>
              </w:rPr>
            </w:pPr>
            <w:r>
              <w:rPr>
                <w:rFonts w:ascii="宋体" w:hAnsi="宋体" w:cs="宋体" w:hint="eastAsia"/>
                <w:szCs w:val="21"/>
              </w:rPr>
              <w:t>尺量：测各对接断面</w:t>
            </w:r>
          </w:p>
        </w:tc>
      </w:tr>
      <w:tr w:rsidR="00BA6061">
        <w:trPr>
          <w:trHeight w:val="340"/>
          <w:jc w:val="center"/>
        </w:trPr>
        <w:tc>
          <w:tcPr>
            <w:tcW w:w="402" w:type="pct"/>
            <w:vAlign w:val="center"/>
          </w:tcPr>
          <w:p w:rsidR="00BA6061" w:rsidRDefault="00610DB9">
            <w:pPr>
              <w:pStyle w:val="ad"/>
              <w:ind w:firstLineChars="0" w:firstLine="0"/>
              <w:jc w:val="center"/>
              <w:rPr>
                <w:rFonts w:ascii="宋体" w:eastAsia="宋体" w:hAnsi="宋体" w:cs="宋体"/>
                <w:szCs w:val="21"/>
              </w:rPr>
            </w:pPr>
            <w:r>
              <w:rPr>
                <w:rFonts w:ascii="宋体" w:hAnsi="宋体" w:cs="宋体" w:hint="eastAsia"/>
                <w:szCs w:val="21"/>
              </w:rPr>
              <w:t>3</w:t>
            </w:r>
          </w:p>
        </w:tc>
        <w:tc>
          <w:tcPr>
            <w:tcW w:w="1140"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焊缝尺寸</w:t>
            </w:r>
          </w:p>
        </w:tc>
        <w:tc>
          <w:tcPr>
            <w:tcW w:w="1198" w:type="pct"/>
            <w:vMerge w:val="restar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按一级焊缝检测</w:t>
            </w:r>
          </w:p>
        </w:tc>
        <w:tc>
          <w:tcPr>
            <w:tcW w:w="2260" w:type="pct"/>
            <w:vAlign w:val="center"/>
          </w:tcPr>
          <w:p w:rsidR="00BA6061" w:rsidRDefault="00610DB9">
            <w:pPr>
              <w:pStyle w:val="ad"/>
              <w:ind w:firstLineChars="0" w:firstLine="0"/>
              <w:rPr>
                <w:rFonts w:ascii="宋体" w:hAnsi="宋体" w:cs="宋体"/>
                <w:szCs w:val="21"/>
              </w:rPr>
            </w:pPr>
            <w:r>
              <w:rPr>
                <w:rFonts w:ascii="宋体" w:hAnsi="宋体" w:cs="宋体" w:hint="eastAsia"/>
                <w:szCs w:val="21"/>
              </w:rPr>
              <w:t>量规：检查全部，每条焊缝检查3处</w:t>
            </w:r>
          </w:p>
        </w:tc>
      </w:tr>
      <w:tr w:rsidR="00BA6061">
        <w:trPr>
          <w:trHeight w:val="340"/>
          <w:jc w:val="center"/>
        </w:trPr>
        <w:tc>
          <w:tcPr>
            <w:tcW w:w="402" w:type="pct"/>
            <w:vAlign w:val="center"/>
          </w:tcPr>
          <w:p w:rsidR="00BA6061" w:rsidRDefault="00610DB9">
            <w:pPr>
              <w:pStyle w:val="ad"/>
              <w:ind w:firstLineChars="0" w:firstLine="0"/>
              <w:jc w:val="center"/>
              <w:rPr>
                <w:rFonts w:ascii="宋体" w:eastAsia="宋体" w:hAnsi="宋体" w:cs="宋体"/>
                <w:szCs w:val="21"/>
              </w:rPr>
            </w:pPr>
            <w:r>
              <w:rPr>
                <w:rFonts w:ascii="宋体" w:hAnsi="宋体" w:cs="宋体" w:hint="eastAsia"/>
                <w:szCs w:val="21"/>
              </w:rPr>
              <w:t>4</w:t>
            </w:r>
          </w:p>
        </w:tc>
        <w:tc>
          <w:tcPr>
            <w:tcW w:w="1140"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焊缝探伤</w:t>
            </w:r>
          </w:p>
        </w:tc>
        <w:tc>
          <w:tcPr>
            <w:tcW w:w="1198" w:type="pct"/>
            <w:vMerge/>
            <w:vAlign w:val="center"/>
          </w:tcPr>
          <w:p w:rsidR="00BA6061" w:rsidRDefault="00BA6061">
            <w:pPr>
              <w:pStyle w:val="ad"/>
              <w:ind w:firstLineChars="0" w:firstLine="0"/>
              <w:jc w:val="center"/>
              <w:rPr>
                <w:rFonts w:ascii="宋体" w:hAnsi="宋体" w:cs="宋体"/>
                <w:szCs w:val="21"/>
              </w:rPr>
            </w:pPr>
          </w:p>
        </w:tc>
        <w:tc>
          <w:tcPr>
            <w:tcW w:w="2260" w:type="pct"/>
            <w:vAlign w:val="center"/>
          </w:tcPr>
          <w:p w:rsidR="00BA6061" w:rsidRDefault="00610DB9">
            <w:pPr>
              <w:pStyle w:val="ad"/>
              <w:ind w:firstLineChars="0" w:firstLine="0"/>
              <w:rPr>
                <w:rFonts w:ascii="宋体" w:hAnsi="宋体" w:cs="宋体"/>
                <w:szCs w:val="21"/>
              </w:rPr>
            </w:pPr>
            <w:r>
              <w:rPr>
                <w:rFonts w:ascii="宋体" w:hAnsi="宋体" w:cs="宋体" w:hint="eastAsia"/>
                <w:szCs w:val="21"/>
              </w:rPr>
              <w:t>超声法：检查全部</w:t>
            </w:r>
          </w:p>
        </w:tc>
      </w:tr>
      <w:tr w:rsidR="00BA6061">
        <w:trPr>
          <w:trHeight w:val="340"/>
          <w:jc w:val="center"/>
        </w:trPr>
        <w:tc>
          <w:tcPr>
            <w:tcW w:w="402" w:type="pct"/>
            <w:vAlign w:val="center"/>
          </w:tcPr>
          <w:p w:rsidR="00BA6061" w:rsidRDefault="00610DB9">
            <w:pPr>
              <w:pStyle w:val="ad"/>
              <w:ind w:firstLineChars="0" w:firstLine="0"/>
              <w:jc w:val="center"/>
              <w:rPr>
                <w:rFonts w:ascii="宋体" w:eastAsia="宋体" w:hAnsi="宋体" w:cs="宋体"/>
                <w:szCs w:val="21"/>
              </w:rPr>
            </w:pPr>
            <w:r>
              <w:rPr>
                <w:rFonts w:ascii="宋体" w:hAnsi="宋体" w:cs="宋体" w:hint="eastAsia"/>
                <w:szCs w:val="21"/>
              </w:rPr>
              <w:t>5</w:t>
            </w:r>
          </w:p>
        </w:tc>
        <w:tc>
          <w:tcPr>
            <w:tcW w:w="1140"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高强螺栓扭矩</w:t>
            </w:r>
          </w:p>
        </w:tc>
        <w:tc>
          <w:tcPr>
            <w:tcW w:w="1198" w:type="pct"/>
            <w:vAlign w:val="center"/>
          </w:tcPr>
          <w:p w:rsidR="00BA6061" w:rsidRDefault="00610DB9">
            <w:pPr>
              <w:pStyle w:val="ad"/>
              <w:ind w:firstLineChars="0" w:firstLine="0"/>
              <w:jc w:val="center"/>
              <w:rPr>
                <w:rFonts w:ascii="宋体" w:eastAsia="宋体" w:hAnsi="宋体" w:cs="宋体"/>
                <w:szCs w:val="21"/>
              </w:rPr>
            </w:pPr>
            <w:r>
              <w:rPr>
                <w:rFonts w:ascii="宋体" w:hAnsi="宋体" w:cs="宋体" w:hint="eastAsia"/>
                <w:szCs w:val="21"/>
              </w:rPr>
              <w:t>±10%设计值</w:t>
            </w:r>
          </w:p>
        </w:tc>
        <w:tc>
          <w:tcPr>
            <w:tcW w:w="2260" w:type="pct"/>
            <w:vAlign w:val="center"/>
          </w:tcPr>
          <w:p w:rsidR="00BA6061" w:rsidRDefault="00610DB9">
            <w:pPr>
              <w:pStyle w:val="ad"/>
              <w:ind w:firstLineChars="0" w:firstLine="0"/>
              <w:jc w:val="left"/>
              <w:rPr>
                <w:rFonts w:ascii="宋体" w:hAnsi="宋体" w:cs="宋体"/>
                <w:szCs w:val="21"/>
              </w:rPr>
            </w:pPr>
            <w:r>
              <w:rPr>
                <w:rFonts w:ascii="宋体" w:hAnsi="宋体" w:cs="宋体" w:hint="eastAsia"/>
                <w:szCs w:val="21"/>
              </w:rPr>
              <w:t>扭矩扳手：检查5%，且不少于2个</w:t>
            </w:r>
          </w:p>
        </w:tc>
      </w:tr>
    </w:tbl>
    <w:p w:rsidR="00BA6061" w:rsidRDefault="00BA6061">
      <w:pPr>
        <w:pStyle w:val="ad"/>
        <w:ind w:left="420" w:firstLine="480"/>
        <w:rPr>
          <w:rFonts w:ascii="宋体" w:eastAsia="宋体" w:hAnsi="宋体" w:cs="宋体"/>
          <w:bCs/>
          <w:sz w:val="24"/>
          <w:szCs w:val="24"/>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顶推设备进场应提供产品手册、合格证明，压力表应具备相应的标定证书。</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顶推设备现场检验应符合表9.4.7的规定。</w:t>
      </w:r>
    </w:p>
    <w:p w:rsidR="00BA6061" w:rsidRDefault="00610DB9">
      <w:pPr>
        <w:ind w:firstLine="360"/>
        <w:jc w:val="center"/>
        <w:rPr>
          <w:rStyle w:val="ae"/>
          <w:rFonts w:ascii="黑体" w:hAnsi="黑体"/>
          <w:kern w:val="0"/>
          <w:szCs w:val="21"/>
        </w:rPr>
      </w:pPr>
      <w:r>
        <w:rPr>
          <w:rStyle w:val="ae"/>
          <w:rFonts w:ascii="黑体" w:hAnsi="黑体"/>
          <w:kern w:val="0"/>
          <w:szCs w:val="21"/>
        </w:rPr>
        <w:t>表</w:t>
      </w:r>
      <w:r>
        <w:rPr>
          <w:rStyle w:val="ae"/>
          <w:rFonts w:ascii="黑体" w:hAnsi="黑体" w:hint="eastAsia"/>
          <w:kern w:val="0"/>
          <w:szCs w:val="21"/>
        </w:rPr>
        <w:t>9.4.7</w:t>
      </w:r>
      <w:r>
        <w:rPr>
          <w:rStyle w:val="ae"/>
          <w:rFonts w:ascii="黑体" w:hAnsi="黑体"/>
          <w:kern w:val="0"/>
          <w:szCs w:val="21"/>
        </w:rPr>
        <w:t xml:space="preserve">  顶推设备现场</w:t>
      </w:r>
      <w:r>
        <w:rPr>
          <w:rStyle w:val="ae"/>
          <w:rFonts w:ascii="黑体" w:hAnsi="黑体" w:hint="eastAsia"/>
          <w:kern w:val="0"/>
          <w:szCs w:val="21"/>
        </w:rPr>
        <w:t>检验项目</w:t>
      </w:r>
    </w:p>
    <w:tbl>
      <w:tblPr>
        <w:tblW w:w="4902"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87"/>
        <w:gridCol w:w="2677"/>
        <w:gridCol w:w="4991"/>
      </w:tblGrid>
      <w:tr w:rsidR="00BA6061">
        <w:trPr>
          <w:trHeight w:val="340"/>
          <w:jc w:val="center"/>
        </w:trPr>
        <w:tc>
          <w:tcPr>
            <w:tcW w:w="411" w:type="pct"/>
            <w:tcBorders>
              <w:tl2br w:val="nil"/>
              <w:tr2bl w:val="nil"/>
            </w:tcBorders>
            <w:vAlign w:val="center"/>
          </w:tcPr>
          <w:p w:rsidR="00BA6061" w:rsidRDefault="00610DB9">
            <w:pPr>
              <w:pStyle w:val="ad"/>
              <w:ind w:firstLineChars="0" w:firstLine="0"/>
              <w:jc w:val="center"/>
              <w:rPr>
                <w:rFonts w:ascii="宋体" w:hAnsi="宋体" w:cs="宋体"/>
                <w:b/>
                <w:bCs/>
                <w:szCs w:val="21"/>
              </w:rPr>
            </w:pPr>
            <w:r>
              <w:rPr>
                <w:rFonts w:ascii="宋体" w:hAnsi="宋体" w:cs="宋体" w:hint="eastAsia"/>
                <w:b/>
                <w:bCs/>
                <w:szCs w:val="21"/>
              </w:rPr>
              <w:t>序号</w:t>
            </w:r>
          </w:p>
        </w:tc>
        <w:tc>
          <w:tcPr>
            <w:tcW w:w="1602" w:type="pct"/>
            <w:tcBorders>
              <w:tl2br w:val="nil"/>
              <w:tr2bl w:val="nil"/>
            </w:tcBorders>
            <w:vAlign w:val="center"/>
          </w:tcPr>
          <w:p w:rsidR="00BA6061" w:rsidRDefault="00610DB9">
            <w:pPr>
              <w:pStyle w:val="ad"/>
              <w:ind w:firstLineChars="0" w:firstLine="0"/>
              <w:jc w:val="center"/>
              <w:rPr>
                <w:rFonts w:ascii="宋体" w:hAnsi="宋体" w:cs="宋体"/>
                <w:b/>
                <w:bCs/>
                <w:szCs w:val="21"/>
              </w:rPr>
            </w:pPr>
            <w:r>
              <w:rPr>
                <w:rFonts w:ascii="宋体" w:hAnsi="宋体" w:cs="宋体" w:hint="eastAsia"/>
                <w:b/>
                <w:bCs/>
                <w:szCs w:val="21"/>
              </w:rPr>
              <w:t>检查项目</w:t>
            </w:r>
          </w:p>
        </w:tc>
        <w:tc>
          <w:tcPr>
            <w:tcW w:w="2986" w:type="pct"/>
            <w:tcBorders>
              <w:tl2br w:val="nil"/>
              <w:tr2bl w:val="nil"/>
            </w:tcBorders>
            <w:vAlign w:val="center"/>
          </w:tcPr>
          <w:p w:rsidR="00BA6061" w:rsidRDefault="00610DB9">
            <w:pPr>
              <w:pStyle w:val="ad"/>
              <w:ind w:firstLineChars="0" w:firstLine="0"/>
              <w:jc w:val="center"/>
              <w:rPr>
                <w:rFonts w:ascii="宋体" w:hAnsi="宋体" w:cs="宋体"/>
                <w:b/>
                <w:bCs/>
                <w:szCs w:val="21"/>
              </w:rPr>
            </w:pPr>
            <w:r>
              <w:rPr>
                <w:rFonts w:ascii="宋体" w:hAnsi="宋体" w:cs="宋体" w:hint="eastAsia"/>
                <w:b/>
                <w:bCs/>
                <w:szCs w:val="21"/>
              </w:rPr>
              <w:t>规定值</w:t>
            </w:r>
          </w:p>
        </w:tc>
      </w:tr>
      <w:tr w:rsidR="00BA6061">
        <w:trPr>
          <w:trHeight w:val="340"/>
          <w:jc w:val="center"/>
        </w:trPr>
        <w:tc>
          <w:tcPr>
            <w:tcW w:w="411" w:type="pct"/>
            <w:tcBorders>
              <w:tl2br w:val="nil"/>
              <w:tr2bl w:val="nil"/>
            </w:tcBorders>
            <w:vAlign w:val="center"/>
          </w:tcPr>
          <w:p w:rsidR="00BA6061" w:rsidRDefault="00610DB9">
            <w:pPr>
              <w:pStyle w:val="ad"/>
              <w:ind w:firstLineChars="0" w:firstLine="0"/>
              <w:jc w:val="center"/>
              <w:rPr>
                <w:rFonts w:ascii="宋体" w:hAnsi="宋体" w:cs="宋体"/>
                <w:bCs/>
                <w:szCs w:val="21"/>
              </w:rPr>
            </w:pPr>
            <w:r>
              <w:rPr>
                <w:rFonts w:ascii="宋体" w:hAnsi="宋体" w:cs="宋体" w:hint="eastAsia"/>
                <w:bCs/>
                <w:szCs w:val="21"/>
              </w:rPr>
              <w:t>1</w:t>
            </w:r>
          </w:p>
        </w:tc>
        <w:tc>
          <w:tcPr>
            <w:tcW w:w="1602" w:type="pct"/>
            <w:tcBorders>
              <w:tl2br w:val="nil"/>
              <w:tr2bl w:val="nil"/>
            </w:tcBorders>
            <w:vAlign w:val="center"/>
          </w:tcPr>
          <w:p w:rsidR="00BA6061" w:rsidRDefault="00610DB9">
            <w:pPr>
              <w:pStyle w:val="ad"/>
              <w:ind w:firstLineChars="0" w:firstLine="0"/>
              <w:jc w:val="center"/>
              <w:rPr>
                <w:rFonts w:ascii="宋体" w:hAnsi="宋体" w:cs="宋体"/>
                <w:bCs/>
                <w:szCs w:val="21"/>
              </w:rPr>
            </w:pPr>
            <w:r>
              <w:rPr>
                <w:rFonts w:ascii="宋体" w:hAnsi="宋体" w:cs="宋体" w:hint="eastAsia"/>
                <w:bCs/>
                <w:szCs w:val="21"/>
              </w:rPr>
              <w:t>顶推设备安装平面位置</w:t>
            </w:r>
          </w:p>
        </w:tc>
        <w:tc>
          <w:tcPr>
            <w:tcW w:w="2986" w:type="pct"/>
            <w:tcBorders>
              <w:tl2br w:val="nil"/>
              <w:tr2bl w:val="nil"/>
            </w:tcBorders>
            <w:vAlign w:val="center"/>
          </w:tcPr>
          <w:p w:rsidR="00BA6061" w:rsidRDefault="00610DB9">
            <w:pPr>
              <w:pStyle w:val="ad"/>
              <w:ind w:firstLineChars="0" w:firstLine="0"/>
              <w:jc w:val="center"/>
              <w:rPr>
                <w:rFonts w:ascii="宋体" w:hAnsi="宋体" w:cs="宋体"/>
                <w:bCs/>
                <w:szCs w:val="21"/>
              </w:rPr>
            </w:pPr>
            <w:r>
              <w:rPr>
                <w:rFonts w:ascii="宋体" w:hAnsi="宋体" w:cs="宋体" w:hint="eastAsia"/>
                <w:bCs/>
                <w:szCs w:val="21"/>
              </w:rPr>
              <w:t>满足设计要求，偏差≤5mm</w:t>
            </w:r>
          </w:p>
        </w:tc>
      </w:tr>
      <w:tr w:rsidR="00BA6061">
        <w:trPr>
          <w:trHeight w:val="340"/>
          <w:jc w:val="center"/>
        </w:trPr>
        <w:tc>
          <w:tcPr>
            <w:tcW w:w="411" w:type="pct"/>
            <w:tcBorders>
              <w:tl2br w:val="nil"/>
              <w:tr2bl w:val="nil"/>
            </w:tcBorders>
            <w:vAlign w:val="center"/>
          </w:tcPr>
          <w:p w:rsidR="00BA6061" w:rsidRDefault="00610DB9">
            <w:pPr>
              <w:pStyle w:val="ad"/>
              <w:ind w:firstLineChars="0" w:firstLine="0"/>
              <w:jc w:val="center"/>
              <w:rPr>
                <w:rFonts w:ascii="宋体" w:hAnsi="宋体" w:cs="宋体"/>
                <w:bCs/>
                <w:szCs w:val="21"/>
              </w:rPr>
            </w:pPr>
            <w:r>
              <w:rPr>
                <w:rFonts w:ascii="宋体" w:hAnsi="宋体" w:cs="宋体" w:hint="eastAsia"/>
                <w:bCs/>
                <w:szCs w:val="21"/>
              </w:rPr>
              <w:t>2</w:t>
            </w:r>
          </w:p>
        </w:tc>
        <w:tc>
          <w:tcPr>
            <w:tcW w:w="1602" w:type="pct"/>
            <w:tcBorders>
              <w:tl2br w:val="nil"/>
              <w:tr2bl w:val="nil"/>
            </w:tcBorders>
            <w:vAlign w:val="center"/>
          </w:tcPr>
          <w:p w:rsidR="00BA6061" w:rsidRDefault="00610DB9">
            <w:pPr>
              <w:pStyle w:val="ad"/>
              <w:ind w:firstLineChars="0" w:firstLine="0"/>
              <w:jc w:val="center"/>
              <w:rPr>
                <w:rFonts w:ascii="宋体" w:hAnsi="宋体" w:cs="宋体"/>
                <w:bCs/>
                <w:szCs w:val="21"/>
              </w:rPr>
            </w:pPr>
            <w:r>
              <w:rPr>
                <w:rFonts w:ascii="宋体" w:hAnsi="宋体" w:cs="宋体" w:hint="eastAsia"/>
                <w:bCs/>
                <w:szCs w:val="21"/>
              </w:rPr>
              <w:t>顶推设备滑移面</w:t>
            </w:r>
          </w:p>
        </w:tc>
        <w:tc>
          <w:tcPr>
            <w:tcW w:w="2986" w:type="pct"/>
            <w:tcBorders>
              <w:tl2br w:val="nil"/>
              <w:tr2bl w:val="nil"/>
            </w:tcBorders>
            <w:vAlign w:val="center"/>
          </w:tcPr>
          <w:p w:rsidR="00BA6061" w:rsidRDefault="00610DB9">
            <w:pPr>
              <w:pStyle w:val="ad"/>
              <w:ind w:firstLineChars="0" w:firstLine="0"/>
              <w:jc w:val="center"/>
              <w:rPr>
                <w:rFonts w:ascii="宋体" w:hAnsi="宋体" w:cs="宋体"/>
                <w:bCs/>
                <w:szCs w:val="21"/>
              </w:rPr>
            </w:pPr>
            <w:r>
              <w:rPr>
                <w:rFonts w:ascii="宋体" w:hAnsi="宋体" w:cs="宋体" w:hint="eastAsia"/>
                <w:bCs/>
                <w:szCs w:val="21"/>
              </w:rPr>
              <w:t>平面高差≤1mm，均匀涂抹润滑油脂</w:t>
            </w:r>
          </w:p>
        </w:tc>
      </w:tr>
      <w:tr w:rsidR="00BA6061">
        <w:trPr>
          <w:trHeight w:val="340"/>
          <w:jc w:val="center"/>
        </w:trPr>
        <w:tc>
          <w:tcPr>
            <w:tcW w:w="411" w:type="pct"/>
            <w:tcBorders>
              <w:tl2br w:val="nil"/>
              <w:tr2bl w:val="nil"/>
            </w:tcBorders>
            <w:vAlign w:val="center"/>
          </w:tcPr>
          <w:p w:rsidR="00BA6061" w:rsidRDefault="00610DB9">
            <w:pPr>
              <w:pStyle w:val="ad"/>
              <w:ind w:firstLineChars="0" w:firstLine="0"/>
              <w:jc w:val="center"/>
              <w:rPr>
                <w:rFonts w:ascii="宋体" w:hAnsi="宋体" w:cs="宋体"/>
                <w:bCs/>
                <w:szCs w:val="21"/>
              </w:rPr>
            </w:pPr>
            <w:r>
              <w:rPr>
                <w:rFonts w:ascii="宋体" w:hAnsi="宋体" w:cs="宋体" w:hint="eastAsia"/>
                <w:bCs/>
                <w:szCs w:val="21"/>
              </w:rPr>
              <w:t>3</w:t>
            </w:r>
          </w:p>
        </w:tc>
        <w:tc>
          <w:tcPr>
            <w:tcW w:w="1602" w:type="pct"/>
            <w:tcBorders>
              <w:tl2br w:val="nil"/>
              <w:tr2bl w:val="nil"/>
            </w:tcBorders>
            <w:vAlign w:val="center"/>
          </w:tcPr>
          <w:p w:rsidR="00BA6061" w:rsidRDefault="00610DB9">
            <w:pPr>
              <w:pStyle w:val="ad"/>
              <w:ind w:firstLineChars="0" w:firstLine="0"/>
              <w:jc w:val="center"/>
              <w:rPr>
                <w:rFonts w:ascii="宋体" w:hAnsi="宋体" w:cs="宋体"/>
                <w:bCs/>
                <w:szCs w:val="21"/>
              </w:rPr>
            </w:pPr>
            <w:r>
              <w:rPr>
                <w:rFonts w:ascii="宋体" w:hAnsi="宋体" w:cs="宋体" w:hint="eastAsia"/>
                <w:bCs/>
                <w:szCs w:val="21"/>
              </w:rPr>
              <w:t>液压管路连接</w:t>
            </w:r>
          </w:p>
        </w:tc>
        <w:tc>
          <w:tcPr>
            <w:tcW w:w="2986" w:type="pct"/>
            <w:tcBorders>
              <w:tl2br w:val="nil"/>
              <w:tr2bl w:val="nil"/>
            </w:tcBorders>
            <w:vAlign w:val="center"/>
          </w:tcPr>
          <w:p w:rsidR="00BA6061" w:rsidRDefault="00610DB9">
            <w:pPr>
              <w:pStyle w:val="ad"/>
              <w:ind w:firstLineChars="0" w:firstLine="0"/>
              <w:jc w:val="center"/>
              <w:rPr>
                <w:rFonts w:ascii="宋体" w:hAnsi="宋体" w:cs="宋体"/>
                <w:bCs/>
                <w:szCs w:val="21"/>
              </w:rPr>
            </w:pPr>
            <w:r>
              <w:rPr>
                <w:rFonts w:ascii="宋体" w:hAnsi="宋体" w:cs="宋体" w:hint="eastAsia"/>
                <w:bCs/>
                <w:szCs w:val="21"/>
              </w:rPr>
              <w:t>管路无漏接和破损，无油液泄漏</w:t>
            </w:r>
          </w:p>
        </w:tc>
      </w:tr>
      <w:tr w:rsidR="00BA6061">
        <w:trPr>
          <w:trHeight w:val="340"/>
          <w:jc w:val="center"/>
        </w:trPr>
        <w:tc>
          <w:tcPr>
            <w:tcW w:w="411" w:type="pct"/>
            <w:tcBorders>
              <w:tl2br w:val="nil"/>
              <w:tr2bl w:val="nil"/>
            </w:tcBorders>
            <w:vAlign w:val="center"/>
          </w:tcPr>
          <w:p w:rsidR="00BA6061" w:rsidRDefault="00610DB9">
            <w:pPr>
              <w:pStyle w:val="ad"/>
              <w:ind w:firstLineChars="0" w:firstLine="0"/>
              <w:jc w:val="center"/>
              <w:rPr>
                <w:rFonts w:ascii="宋体" w:hAnsi="宋体" w:cs="宋体"/>
                <w:bCs/>
                <w:szCs w:val="21"/>
              </w:rPr>
            </w:pPr>
            <w:r>
              <w:rPr>
                <w:rFonts w:ascii="宋体" w:hAnsi="宋体" w:cs="宋体" w:hint="eastAsia"/>
                <w:bCs/>
                <w:szCs w:val="21"/>
              </w:rPr>
              <w:t>4</w:t>
            </w:r>
          </w:p>
        </w:tc>
        <w:tc>
          <w:tcPr>
            <w:tcW w:w="1602" w:type="pct"/>
            <w:tcBorders>
              <w:tl2br w:val="nil"/>
              <w:tr2bl w:val="nil"/>
            </w:tcBorders>
            <w:vAlign w:val="center"/>
          </w:tcPr>
          <w:p w:rsidR="00BA6061" w:rsidRDefault="00610DB9">
            <w:pPr>
              <w:pStyle w:val="ad"/>
              <w:ind w:firstLineChars="0" w:firstLine="0"/>
              <w:jc w:val="center"/>
              <w:rPr>
                <w:rFonts w:ascii="宋体" w:hAnsi="宋体" w:cs="宋体"/>
                <w:bCs/>
                <w:szCs w:val="21"/>
              </w:rPr>
            </w:pPr>
            <w:r>
              <w:rPr>
                <w:rFonts w:ascii="宋体" w:hAnsi="宋体" w:cs="宋体" w:hint="eastAsia"/>
                <w:bCs/>
                <w:szCs w:val="21"/>
              </w:rPr>
              <w:t>液压泵站油液</w:t>
            </w:r>
            <w:proofErr w:type="gramStart"/>
            <w:r>
              <w:rPr>
                <w:rFonts w:ascii="宋体" w:hAnsi="宋体" w:cs="宋体" w:hint="eastAsia"/>
                <w:bCs/>
                <w:szCs w:val="21"/>
              </w:rPr>
              <w:t>液</w:t>
            </w:r>
            <w:proofErr w:type="gramEnd"/>
            <w:r>
              <w:rPr>
                <w:rFonts w:ascii="宋体" w:hAnsi="宋体" w:cs="宋体" w:hint="eastAsia"/>
                <w:bCs/>
                <w:szCs w:val="21"/>
              </w:rPr>
              <w:t>位</w:t>
            </w:r>
          </w:p>
        </w:tc>
        <w:tc>
          <w:tcPr>
            <w:tcW w:w="2986" w:type="pct"/>
            <w:tcBorders>
              <w:tl2br w:val="nil"/>
              <w:tr2bl w:val="nil"/>
            </w:tcBorders>
            <w:vAlign w:val="center"/>
          </w:tcPr>
          <w:p w:rsidR="00BA6061" w:rsidRDefault="00610DB9">
            <w:pPr>
              <w:pStyle w:val="ad"/>
              <w:ind w:firstLineChars="0" w:firstLine="0"/>
              <w:jc w:val="center"/>
              <w:rPr>
                <w:rFonts w:ascii="宋体" w:hAnsi="宋体" w:cs="宋体"/>
                <w:bCs/>
                <w:szCs w:val="21"/>
              </w:rPr>
            </w:pPr>
            <w:r>
              <w:rPr>
                <w:rFonts w:ascii="宋体" w:hAnsi="宋体" w:cs="宋体" w:hint="eastAsia"/>
                <w:bCs/>
                <w:szCs w:val="21"/>
              </w:rPr>
              <w:t>油液</w:t>
            </w:r>
            <w:proofErr w:type="gramStart"/>
            <w:r>
              <w:rPr>
                <w:rFonts w:ascii="宋体" w:hAnsi="宋体" w:cs="宋体" w:hint="eastAsia"/>
                <w:bCs/>
                <w:szCs w:val="21"/>
              </w:rPr>
              <w:t>液</w:t>
            </w:r>
            <w:proofErr w:type="gramEnd"/>
            <w:r>
              <w:rPr>
                <w:rFonts w:ascii="宋体" w:hAnsi="宋体" w:cs="宋体" w:hint="eastAsia"/>
                <w:bCs/>
                <w:szCs w:val="21"/>
              </w:rPr>
              <w:t>位在允许标线以上</w:t>
            </w:r>
          </w:p>
        </w:tc>
      </w:tr>
      <w:tr w:rsidR="00BA6061">
        <w:trPr>
          <w:trHeight w:val="340"/>
          <w:jc w:val="center"/>
        </w:trPr>
        <w:tc>
          <w:tcPr>
            <w:tcW w:w="411" w:type="pct"/>
            <w:tcBorders>
              <w:tl2br w:val="nil"/>
              <w:tr2bl w:val="nil"/>
            </w:tcBorders>
            <w:vAlign w:val="center"/>
          </w:tcPr>
          <w:p w:rsidR="00BA6061" w:rsidRDefault="00610DB9">
            <w:pPr>
              <w:pStyle w:val="ad"/>
              <w:ind w:firstLineChars="0" w:firstLine="0"/>
              <w:jc w:val="center"/>
              <w:rPr>
                <w:rFonts w:ascii="宋体" w:hAnsi="宋体" w:cs="宋体"/>
                <w:bCs/>
                <w:szCs w:val="21"/>
              </w:rPr>
            </w:pPr>
            <w:r>
              <w:rPr>
                <w:rFonts w:ascii="宋体" w:hAnsi="宋体" w:cs="宋体" w:hint="eastAsia"/>
                <w:bCs/>
                <w:szCs w:val="21"/>
              </w:rPr>
              <w:t>5</w:t>
            </w:r>
          </w:p>
        </w:tc>
        <w:tc>
          <w:tcPr>
            <w:tcW w:w="1602" w:type="pct"/>
            <w:tcBorders>
              <w:tl2br w:val="nil"/>
              <w:tr2bl w:val="nil"/>
            </w:tcBorders>
            <w:vAlign w:val="center"/>
          </w:tcPr>
          <w:p w:rsidR="00BA6061" w:rsidRDefault="00610DB9">
            <w:pPr>
              <w:pStyle w:val="ad"/>
              <w:ind w:firstLineChars="0" w:firstLine="0"/>
              <w:jc w:val="center"/>
              <w:rPr>
                <w:rFonts w:ascii="宋体" w:hAnsi="宋体" w:cs="宋体"/>
                <w:bCs/>
                <w:szCs w:val="21"/>
              </w:rPr>
            </w:pPr>
            <w:r>
              <w:rPr>
                <w:rFonts w:ascii="宋体" w:hAnsi="宋体" w:cs="宋体" w:hint="eastAsia"/>
                <w:bCs/>
                <w:szCs w:val="21"/>
              </w:rPr>
              <w:t>液压泵站最大系统压力</w:t>
            </w:r>
          </w:p>
        </w:tc>
        <w:tc>
          <w:tcPr>
            <w:tcW w:w="2986" w:type="pct"/>
            <w:tcBorders>
              <w:tl2br w:val="nil"/>
              <w:tr2bl w:val="nil"/>
            </w:tcBorders>
            <w:vAlign w:val="center"/>
          </w:tcPr>
          <w:p w:rsidR="00BA6061" w:rsidRDefault="00610DB9">
            <w:pPr>
              <w:pStyle w:val="ad"/>
              <w:ind w:firstLineChars="0" w:firstLine="0"/>
              <w:jc w:val="center"/>
              <w:rPr>
                <w:rFonts w:ascii="宋体" w:hAnsi="宋体" w:cs="宋体"/>
                <w:bCs/>
                <w:szCs w:val="21"/>
              </w:rPr>
            </w:pPr>
            <w:r>
              <w:rPr>
                <w:rFonts w:ascii="宋体" w:hAnsi="宋体" w:cs="宋体" w:hint="eastAsia"/>
                <w:bCs/>
                <w:szCs w:val="21"/>
              </w:rPr>
              <w:t>泵站压力应能调到最大系统压力</w:t>
            </w:r>
          </w:p>
        </w:tc>
      </w:tr>
      <w:tr w:rsidR="00BA6061">
        <w:trPr>
          <w:trHeight w:val="340"/>
          <w:jc w:val="center"/>
        </w:trPr>
        <w:tc>
          <w:tcPr>
            <w:tcW w:w="411" w:type="pct"/>
            <w:tcBorders>
              <w:tl2br w:val="nil"/>
              <w:tr2bl w:val="nil"/>
            </w:tcBorders>
            <w:vAlign w:val="center"/>
          </w:tcPr>
          <w:p w:rsidR="00BA6061" w:rsidRDefault="00610DB9">
            <w:pPr>
              <w:pStyle w:val="ad"/>
              <w:ind w:firstLineChars="0" w:firstLine="0"/>
              <w:jc w:val="center"/>
              <w:rPr>
                <w:rFonts w:ascii="宋体" w:hAnsi="宋体" w:cs="宋体"/>
                <w:bCs/>
                <w:szCs w:val="21"/>
              </w:rPr>
            </w:pPr>
            <w:r>
              <w:rPr>
                <w:rFonts w:ascii="宋体" w:hAnsi="宋体" w:cs="宋体" w:hint="eastAsia"/>
                <w:bCs/>
                <w:szCs w:val="21"/>
              </w:rPr>
              <w:t>6</w:t>
            </w:r>
          </w:p>
        </w:tc>
        <w:tc>
          <w:tcPr>
            <w:tcW w:w="1602" w:type="pct"/>
            <w:tcBorders>
              <w:tl2br w:val="nil"/>
              <w:tr2bl w:val="nil"/>
            </w:tcBorders>
            <w:vAlign w:val="center"/>
          </w:tcPr>
          <w:p w:rsidR="00BA6061" w:rsidRDefault="00610DB9">
            <w:pPr>
              <w:pStyle w:val="ad"/>
              <w:ind w:firstLineChars="0" w:firstLine="0"/>
              <w:jc w:val="center"/>
              <w:rPr>
                <w:rFonts w:ascii="宋体" w:hAnsi="宋体" w:cs="宋体"/>
                <w:bCs/>
                <w:szCs w:val="21"/>
              </w:rPr>
            </w:pPr>
            <w:r>
              <w:rPr>
                <w:rFonts w:ascii="宋体" w:hAnsi="宋体" w:cs="宋体" w:hint="eastAsia"/>
                <w:bCs/>
                <w:szCs w:val="21"/>
              </w:rPr>
              <w:t>控制系统指令信号检查</w:t>
            </w:r>
          </w:p>
        </w:tc>
        <w:tc>
          <w:tcPr>
            <w:tcW w:w="2986" w:type="pct"/>
            <w:tcBorders>
              <w:tl2br w:val="nil"/>
              <w:tr2bl w:val="nil"/>
            </w:tcBorders>
            <w:vAlign w:val="center"/>
          </w:tcPr>
          <w:p w:rsidR="00BA6061" w:rsidRDefault="00610DB9">
            <w:pPr>
              <w:pStyle w:val="ad"/>
              <w:ind w:firstLineChars="0" w:firstLine="0"/>
              <w:jc w:val="center"/>
              <w:rPr>
                <w:rFonts w:ascii="宋体" w:hAnsi="宋体" w:cs="宋体"/>
                <w:bCs/>
                <w:szCs w:val="21"/>
              </w:rPr>
            </w:pPr>
            <w:r>
              <w:rPr>
                <w:rFonts w:ascii="宋体" w:hAnsi="宋体" w:cs="宋体" w:hint="eastAsia"/>
                <w:bCs/>
                <w:szCs w:val="21"/>
              </w:rPr>
              <w:t>各指令收发正常，无明显延迟</w:t>
            </w:r>
          </w:p>
        </w:tc>
      </w:tr>
    </w:tbl>
    <w:p w:rsidR="00BA6061" w:rsidRDefault="00BA6061">
      <w:pPr>
        <w:pStyle w:val="ad"/>
        <w:ind w:firstLineChars="0" w:firstLine="0"/>
        <w:jc w:val="center"/>
        <w:rPr>
          <w:rFonts w:ascii="宋体" w:hAnsi="宋体" w:cs="宋体"/>
          <w:b/>
          <w:bCs/>
          <w:szCs w:val="21"/>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液压顶推系统应进行现场安装调试和检查验收，并应符合现行国家标准《液压传动系统及其元件的通用规则和安全要求》GB/T 3766的相关规定。</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桥梁主体结构质量检验应符合</w:t>
      </w:r>
      <w:proofErr w:type="gramStart"/>
      <w:r>
        <w:rPr>
          <w:rFonts w:ascii="宋体" w:eastAsia="宋体" w:hAnsi="宋体" w:cs="宋体" w:hint="eastAsia"/>
          <w:sz w:val="24"/>
          <w:szCs w:val="24"/>
        </w:rPr>
        <w:t>现行行业</w:t>
      </w:r>
      <w:proofErr w:type="gramEnd"/>
      <w:r>
        <w:rPr>
          <w:rFonts w:ascii="宋体" w:eastAsia="宋体" w:hAnsi="宋体" w:cs="宋体" w:hint="eastAsia"/>
          <w:sz w:val="24"/>
          <w:szCs w:val="24"/>
        </w:rPr>
        <w:t>标准《公路工程质量检验评定标准 第一册 土建工程》JTG F80/1的相关规定。</w:t>
      </w: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桥梁主体结构检验项目应符合表9.4.10的规定。</w:t>
      </w:r>
    </w:p>
    <w:p w:rsidR="00BA6061" w:rsidRDefault="00610DB9">
      <w:pPr>
        <w:ind w:firstLine="360"/>
        <w:jc w:val="center"/>
        <w:rPr>
          <w:rStyle w:val="ae"/>
          <w:rFonts w:ascii="黑体" w:hAnsi="黑体"/>
          <w:kern w:val="0"/>
          <w:szCs w:val="21"/>
        </w:rPr>
      </w:pPr>
      <w:r>
        <w:rPr>
          <w:rStyle w:val="ae"/>
          <w:rFonts w:ascii="黑体" w:hAnsi="黑体"/>
          <w:kern w:val="0"/>
          <w:szCs w:val="21"/>
        </w:rPr>
        <w:t>表</w:t>
      </w:r>
      <w:r>
        <w:rPr>
          <w:rStyle w:val="ae"/>
          <w:rFonts w:ascii="黑体" w:hAnsi="黑体" w:hint="eastAsia"/>
          <w:kern w:val="0"/>
          <w:szCs w:val="21"/>
        </w:rPr>
        <w:t>9.4.10</w:t>
      </w:r>
      <w:r>
        <w:rPr>
          <w:rStyle w:val="ae"/>
          <w:rFonts w:ascii="黑体" w:hAnsi="黑体"/>
          <w:kern w:val="0"/>
          <w:szCs w:val="21"/>
        </w:rPr>
        <w:t xml:space="preserve">  </w:t>
      </w:r>
      <w:r>
        <w:rPr>
          <w:rStyle w:val="ae"/>
          <w:rFonts w:ascii="黑体" w:hAnsi="黑体" w:hint="eastAsia"/>
          <w:kern w:val="0"/>
          <w:szCs w:val="21"/>
        </w:rPr>
        <w:t>桥梁主体结构检验</w:t>
      </w:r>
      <w:r>
        <w:rPr>
          <w:rStyle w:val="ae"/>
          <w:rFonts w:ascii="黑体" w:hAnsi="黑体"/>
          <w:kern w:val="0"/>
          <w:szCs w:val="21"/>
        </w:rPr>
        <w:t>项目</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9"/>
        <w:gridCol w:w="1072"/>
        <w:gridCol w:w="1035"/>
        <w:gridCol w:w="2863"/>
        <w:gridCol w:w="2843"/>
      </w:tblGrid>
      <w:tr w:rsidR="00BA6061">
        <w:trPr>
          <w:trHeight w:val="340"/>
          <w:tblHeader/>
          <w:jc w:val="center"/>
        </w:trPr>
        <w:tc>
          <w:tcPr>
            <w:tcW w:w="416" w:type="pct"/>
            <w:vAlign w:val="center"/>
          </w:tcPr>
          <w:p w:rsidR="00BA6061" w:rsidRDefault="00610DB9">
            <w:pPr>
              <w:pStyle w:val="ad"/>
              <w:ind w:firstLineChars="0" w:firstLine="0"/>
              <w:jc w:val="center"/>
              <w:rPr>
                <w:rFonts w:ascii="宋体" w:hAnsi="宋体" w:cs="宋体"/>
                <w:b/>
                <w:bCs/>
                <w:szCs w:val="21"/>
              </w:rPr>
            </w:pPr>
            <w:r>
              <w:rPr>
                <w:rFonts w:ascii="宋体" w:hAnsi="宋体" w:cs="宋体" w:hint="eastAsia"/>
                <w:b/>
                <w:bCs/>
                <w:szCs w:val="21"/>
              </w:rPr>
              <w:t>项次</w:t>
            </w:r>
          </w:p>
        </w:tc>
        <w:tc>
          <w:tcPr>
            <w:tcW w:w="1236" w:type="pct"/>
            <w:gridSpan w:val="2"/>
            <w:vAlign w:val="center"/>
          </w:tcPr>
          <w:p w:rsidR="00BA6061" w:rsidRDefault="00610DB9">
            <w:pPr>
              <w:pStyle w:val="ad"/>
              <w:ind w:firstLineChars="0" w:firstLine="0"/>
              <w:jc w:val="center"/>
              <w:rPr>
                <w:rFonts w:ascii="宋体" w:hAnsi="宋体" w:cs="宋体"/>
                <w:b/>
                <w:bCs/>
                <w:szCs w:val="21"/>
              </w:rPr>
            </w:pPr>
            <w:r>
              <w:rPr>
                <w:rFonts w:ascii="宋体" w:hAnsi="宋体" w:cs="宋体" w:hint="eastAsia"/>
                <w:b/>
                <w:bCs/>
                <w:szCs w:val="21"/>
              </w:rPr>
              <w:t>检查项目</w:t>
            </w:r>
          </w:p>
        </w:tc>
        <w:tc>
          <w:tcPr>
            <w:tcW w:w="1680" w:type="pct"/>
            <w:vAlign w:val="center"/>
          </w:tcPr>
          <w:p w:rsidR="00BA6061" w:rsidRDefault="00610DB9">
            <w:pPr>
              <w:pStyle w:val="ad"/>
              <w:ind w:firstLineChars="0" w:firstLine="0"/>
              <w:jc w:val="center"/>
              <w:rPr>
                <w:rFonts w:ascii="宋体" w:hAnsi="宋体" w:cs="宋体"/>
                <w:b/>
                <w:bCs/>
                <w:szCs w:val="21"/>
              </w:rPr>
            </w:pPr>
            <w:r>
              <w:rPr>
                <w:rFonts w:ascii="宋体" w:hAnsi="宋体" w:cs="宋体" w:hint="eastAsia"/>
                <w:b/>
                <w:bCs/>
                <w:szCs w:val="21"/>
              </w:rPr>
              <w:t>规定值或允许偏差</w:t>
            </w:r>
          </w:p>
        </w:tc>
        <w:tc>
          <w:tcPr>
            <w:tcW w:w="1668" w:type="pct"/>
            <w:vAlign w:val="center"/>
          </w:tcPr>
          <w:p w:rsidR="00BA6061" w:rsidRDefault="00610DB9">
            <w:pPr>
              <w:pStyle w:val="ad"/>
              <w:ind w:firstLineChars="0" w:firstLine="0"/>
              <w:jc w:val="center"/>
              <w:rPr>
                <w:rFonts w:ascii="宋体" w:hAnsi="宋体" w:cs="宋体"/>
                <w:b/>
                <w:bCs/>
                <w:szCs w:val="21"/>
              </w:rPr>
            </w:pPr>
            <w:r>
              <w:rPr>
                <w:rFonts w:ascii="宋体" w:hAnsi="宋体" w:cs="宋体" w:hint="eastAsia"/>
                <w:b/>
                <w:bCs/>
                <w:szCs w:val="21"/>
              </w:rPr>
              <w:t>检查方法和频率</w:t>
            </w:r>
          </w:p>
        </w:tc>
      </w:tr>
      <w:tr w:rsidR="00BA6061">
        <w:trPr>
          <w:trHeight w:val="340"/>
          <w:jc w:val="center"/>
        </w:trPr>
        <w:tc>
          <w:tcPr>
            <w:tcW w:w="416"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1</w:t>
            </w:r>
          </w:p>
        </w:tc>
        <w:tc>
          <w:tcPr>
            <w:tcW w:w="1236" w:type="pct"/>
            <w:gridSpan w:val="2"/>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轴线偏位（mm）</w:t>
            </w:r>
          </w:p>
        </w:tc>
        <w:tc>
          <w:tcPr>
            <w:tcW w:w="1680"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≤10</w:t>
            </w:r>
          </w:p>
        </w:tc>
        <w:tc>
          <w:tcPr>
            <w:tcW w:w="1668"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全站仪：每段测2处</w:t>
            </w:r>
          </w:p>
        </w:tc>
      </w:tr>
      <w:tr w:rsidR="00BA6061">
        <w:trPr>
          <w:trHeight w:val="340"/>
          <w:jc w:val="center"/>
        </w:trPr>
        <w:tc>
          <w:tcPr>
            <w:tcW w:w="416"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2</w:t>
            </w:r>
          </w:p>
        </w:tc>
        <w:tc>
          <w:tcPr>
            <w:tcW w:w="1236" w:type="pct"/>
            <w:gridSpan w:val="2"/>
            <w:vAlign w:val="center"/>
          </w:tcPr>
          <w:p w:rsidR="00BA6061" w:rsidRDefault="00610DB9">
            <w:pPr>
              <w:pStyle w:val="ad"/>
              <w:ind w:firstLineChars="0" w:firstLine="0"/>
              <w:jc w:val="center"/>
              <w:rPr>
                <w:rFonts w:ascii="宋体" w:hAnsi="宋体" w:cs="宋体"/>
                <w:szCs w:val="21"/>
              </w:rPr>
            </w:pPr>
            <w:proofErr w:type="gramStart"/>
            <w:r>
              <w:rPr>
                <w:rFonts w:ascii="宋体" w:hAnsi="宋体" w:cs="宋体" w:hint="eastAsia"/>
                <w:szCs w:val="21"/>
              </w:rPr>
              <w:t>落梁反</w:t>
            </w:r>
            <w:proofErr w:type="gramEnd"/>
            <w:r>
              <w:rPr>
                <w:rFonts w:ascii="宋体" w:hAnsi="宋体" w:cs="宋体" w:hint="eastAsia"/>
                <w:szCs w:val="21"/>
              </w:rPr>
              <w:t>力</w:t>
            </w:r>
          </w:p>
        </w:tc>
        <w:tc>
          <w:tcPr>
            <w:tcW w:w="1680"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满足设计要求；设计未要求时，≤1.1倍的设计反力</w:t>
            </w:r>
          </w:p>
        </w:tc>
        <w:tc>
          <w:tcPr>
            <w:tcW w:w="1668"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查油压表读数：检查全部</w:t>
            </w:r>
          </w:p>
        </w:tc>
      </w:tr>
      <w:tr w:rsidR="00BA6061">
        <w:trPr>
          <w:trHeight w:val="340"/>
          <w:jc w:val="center"/>
        </w:trPr>
        <w:tc>
          <w:tcPr>
            <w:tcW w:w="416" w:type="pct"/>
            <w:vMerge w:val="restar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3</w:t>
            </w:r>
          </w:p>
        </w:tc>
        <w:tc>
          <w:tcPr>
            <w:tcW w:w="629" w:type="pct"/>
            <w:vMerge w:val="restar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支点高差</w:t>
            </w:r>
          </w:p>
          <w:p w:rsidR="00BA6061" w:rsidRDefault="00610DB9">
            <w:pPr>
              <w:pStyle w:val="ad"/>
              <w:ind w:firstLineChars="0" w:firstLine="0"/>
              <w:jc w:val="center"/>
              <w:rPr>
                <w:rFonts w:ascii="宋体" w:hAnsi="宋体" w:cs="宋体"/>
                <w:szCs w:val="21"/>
              </w:rPr>
            </w:pPr>
            <w:r>
              <w:rPr>
                <w:rFonts w:ascii="宋体" w:hAnsi="宋体" w:cs="宋体" w:hint="eastAsia"/>
                <w:szCs w:val="21"/>
              </w:rPr>
              <w:t>（mm）</w:t>
            </w:r>
          </w:p>
        </w:tc>
        <w:tc>
          <w:tcPr>
            <w:tcW w:w="607"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相邻纵向支点</w:t>
            </w:r>
          </w:p>
        </w:tc>
        <w:tc>
          <w:tcPr>
            <w:tcW w:w="1680"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满足设计要求；设计未要求时，≤5</w:t>
            </w:r>
          </w:p>
        </w:tc>
        <w:tc>
          <w:tcPr>
            <w:tcW w:w="1668" w:type="pct"/>
            <w:vMerge w:val="restar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 xml:space="preserve">水准仪：检查全部 </w:t>
            </w:r>
          </w:p>
        </w:tc>
      </w:tr>
      <w:tr w:rsidR="00BA6061">
        <w:trPr>
          <w:trHeight w:val="340"/>
          <w:jc w:val="center"/>
        </w:trPr>
        <w:tc>
          <w:tcPr>
            <w:tcW w:w="416" w:type="pct"/>
            <w:vMerge/>
            <w:vAlign w:val="center"/>
          </w:tcPr>
          <w:p w:rsidR="00BA6061" w:rsidRDefault="00BA6061">
            <w:pPr>
              <w:pStyle w:val="ad"/>
              <w:ind w:firstLineChars="0" w:firstLine="0"/>
              <w:jc w:val="center"/>
              <w:rPr>
                <w:rFonts w:ascii="宋体" w:hAnsi="宋体" w:cs="宋体"/>
                <w:szCs w:val="21"/>
              </w:rPr>
            </w:pPr>
          </w:p>
        </w:tc>
        <w:tc>
          <w:tcPr>
            <w:tcW w:w="629" w:type="pct"/>
            <w:vMerge/>
            <w:vAlign w:val="center"/>
          </w:tcPr>
          <w:p w:rsidR="00BA6061" w:rsidRDefault="00BA6061">
            <w:pPr>
              <w:pStyle w:val="ad"/>
              <w:ind w:firstLineChars="0" w:firstLine="0"/>
              <w:jc w:val="center"/>
              <w:rPr>
                <w:rFonts w:ascii="宋体" w:hAnsi="宋体" w:cs="宋体"/>
                <w:szCs w:val="21"/>
              </w:rPr>
            </w:pPr>
          </w:p>
        </w:tc>
        <w:tc>
          <w:tcPr>
            <w:tcW w:w="607"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同墩两侧支点</w:t>
            </w:r>
          </w:p>
        </w:tc>
        <w:tc>
          <w:tcPr>
            <w:tcW w:w="1680" w:type="pct"/>
            <w:vAlign w:val="center"/>
          </w:tcPr>
          <w:p w:rsidR="00BA6061" w:rsidRDefault="00610DB9">
            <w:pPr>
              <w:pStyle w:val="ad"/>
              <w:ind w:firstLineChars="0" w:firstLine="0"/>
              <w:jc w:val="center"/>
              <w:rPr>
                <w:rFonts w:ascii="宋体" w:hAnsi="宋体" w:cs="宋体"/>
                <w:szCs w:val="21"/>
              </w:rPr>
            </w:pPr>
            <w:r>
              <w:rPr>
                <w:rFonts w:ascii="宋体" w:hAnsi="宋体" w:cs="宋体" w:hint="eastAsia"/>
                <w:szCs w:val="21"/>
              </w:rPr>
              <w:t>满足设计要求；设计未要求时，≤2</w:t>
            </w:r>
          </w:p>
        </w:tc>
        <w:tc>
          <w:tcPr>
            <w:tcW w:w="1668" w:type="pct"/>
            <w:vMerge/>
            <w:vAlign w:val="center"/>
          </w:tcPr>
          <w:p w:rsidR="00BA6061" w:rsidRDefault="00BA6061">
            <w:pPr>
              <w:pStyle w:val="ad"/>
              <w:ind w:firstLineChars="0" w:firstLine="0"/>
              <w:jc w:val="center"/>
              <w:rPr>
                <w:rFonts w:ascii="宋体" w:hAnsi="宋体" w:cs="宋体"/>
                <w:szCs w:val="21"/>
              </w:rPr>
            </w:pPr>
          </w:p>
        </w:tc>
      </w:tr>
    </w:tbl>
    <w:p w:rsidR="00BA6061" w:rsidRDefault="00BA6061">
      <w:pPr>
        <w:tabs>
          <w:tab w:val="left" w:pos="0"/>
        </w:tabs>
        <w:spacing w:line="360" w:lineRule="auto"/>
        <w:jc w:val="left"/>
        <w:rPr>
          <w:rFonts w:ascii="宋体" w:eastAsia="宋体" w:hAnsi="宋体" w:cs="宋体"/>
          <w:bCs/>
          <w:sz w:val="24"/>
          <w:szCs w:val="24"/>
        </w:rPr>
      </w:pPr>
    </w:p>
    <w:p w:rsidR="00BA6061" w:rsidRDefault="00610DB9">
      <w:pPr>
        <w:pStyle w:val="ad"/>
        <w:numPr>
          <w:ilvl w:val="2"/>
          <w:numId w:val="3"/>
        </w:numPr>
        <w:spacing w:line="360" w:lineRule="auto"/>
        <w:ind w:left="0" w:firstLineChars="0" w:firstLine="0"/>
        <w:jc w:val="left"/>
        <w:rPr>
          <w:rFonts w:ascii="宋体" w:eastAsia="宋体" w:hAnsi="宋体" w:cs="宋体"/>
          <w:sz w:val="24"/>
          <w:szCs w:val="24"/>
        </w:rPr>
      </w:pPr>
      <w:r>
        <w:rPr>
          <w:rFonts w:ascii="宋体" w:eastAsia="宋体" w:hAnsi="宋体" w:cs="宋体" w:hint="eastAsia"/>
          <w:sz w:val="24"/>
          <w:szCs w:val="24"/>
        </w:rPr>
        <w:t xml:space="preserve"> 桥梁主体结构外观质量应符合下列规定：</w:t>
      </w:r>
    </w:p>
    <w:p w:rsidR="00BA6061" w:rsidRDefault="00610DB9">
      <w:pPr>
        <w:pStyle w:val="ad"/>
        <w:numPr>
          <w:ilvl w:val="3"/>
          <w:numId w:val="19"/>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钢结构线形不得出现异常弯折、变形。</w:t>
      </w:r>
    </w:p>
    <w:p w:rsidR="00BA6061" w:rsidRDefault="00610DB9">
      <w:pPr>
        <w:pStyle w:val="ad"/>
        <w:numPr>
          <w:ilvl w:val="3"/>
          <w:numId w:val="19"/>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钢结构内外表面不得有凹陷、划痕、焊疤，边缘应无毛刺。</w:t>
      </w:r>
    </w:p>
    <w:p w:rsidR="00BA6061" w:rsidRDefault="00610DB9">
      <w:pPr>
        <w:pStyle w:val="ad"/>
        <w:numPr>
          <w:ilvl w:val="3"/>
          <w:numId w:val="19"/>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焊缝应无裂纹、焊瘤、气孔、夹渣、电弧擦伤、未焊透、未</w:t>
      </w:r>
      <w:proofErr w:type="gramStart"/>
      <w:r>
        <w:rPr>
          <w:rFonts w:ascii="宋体" w:eastAsia="宋体" w:hAnsi="宋体" w:cs="宋体" w:hint="eastAsia"/>
          <w:bCs/>
          <w:sz w:val="24"/>
          <w:szCs w:val="24"/>
        </w:rPr>
        <w:t>填满弧坑及</w:t>
      </w:r>
      <w:proofErr w:type="gramEnd"/>
      <w:r>
        <w:rPr>
          <w:rFonts w:ascii="宋体" w:eastAsia="宋体" w:hAnsi="宋体" w:cs="宋体" w:hint="eastAsia"/>
          <w:bCs/>
          <w:sz w:val="24"/>
          <w:szCs w:val="24"/>
        </w:rPr>
        <w:t>设计不允许出现的外观缺陷，构件表面无焊渣和飞溅物。</w:t>
      </w:r>
    </w:p>
    <w:p w:rsidR="00BA6061" w:rsidRDefault="00610DB9">
      <w:pPr>
        <w:pStyle w:val="ad"/>
        <w:numPr>
          <w:ilvl w:val="3"/>
          <w:numId w:val="19"/>
        </w:numPr>
        <w:spacing w:line="360" w:lineRule="auto"/>
        <w:ind w:firstLine="480"/>
        <w:rPr>
          <w:rFonts w:ascii="宋体" w:eastAsia="宋体" w:hAnsi="宋体" w:cs="宋体"/>
          <w:bCs/>
          <w:sz w:val="24"/>
          <w:szCs w:val="24"/>
        </w:rPr>
      </w:pPr>
      <w:proofErr w:type="gramStart"/>
      <w:r>
        <w:rPr>
          <w:rFonts w:ascii="宋体" w:eastAsia="宋体" w:hAnsi="宋体" w:cs="宋体" w:hint="eastAsia"/>
          <w:bCs/>
          <w:sz w:val="24"/>
          <w:szCs w:val="24"/>
        </w:rPr>
        <w:t>终拧后</w:t>
      </w:r>
      <w:proofErr w:type="gramEnd"/>
      <w:r>
        <w:rPr>
          <w:rFonts w:ascii="宋体" w:eastAsia="宋体" w:hAnsi="宋体" w:cs="宋体" w:hint="eastAsia"/>
          <w:bCs/>
          <w:sz w:val="24"/>
          <w:szCs w:val="24"/>
        </w:rPr>
        <w:t>高强螺栓丝扣外露应为2扣～3扣，不符合的不应超过10%，设计另有规定的除外。</w:t>
      </w:r>
    </w:p>
    <w:p w:rsidR="00BA6061" w:rsidRDefault="00610DB9">
      <w:pPr>
        <w:pStyle w:val="ad"/>
        <w:numPr>
          <w:ilvl w:val="3"/>
          <w:numId w:val="19"/>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钢结构防护损失的应修复。</w:t>
      </w:r>
    </w:p>
    <w:p w:rsidR="00BA6061" w:rsidRDefault="00610DB9">
      <w:pPr>
        <w:pStyle w:val="ad"/>
        <w:numPr>
          <w:ilvl w:val="3"/>
          <w:numId w:val="19"/>
        </w:numPr>
        <w:spacing w:line="360" w:lineRule="auto"/>
        <w:ind w:firstLine="480"/>
        <w:rPr>
          <w:rFonts w:ascii="宋体" w:eastAsia="宋体" w:hAnsi="宋体" w:cs="宋体"/>
          <w:bCs/>
          <w:sz w:val="24"/>
          <w:szCs w:val="24"/>
        </w:rPr>
      </w:pPr>
      <w:r>
        <w:rPr>
          <w:rFonts w:ascii="宋体" w:eastAsia="宋体" w:hAnsi="宋体" w:cs="宋体" w:hint="eastAsia"/>
          <w:bCs/>
          <w:sz w:val="24"/>
          <w:szCs w:val="24"/>
        </w:rPr>
        <w:t>顶推设备与桥梁主体结构的接触面不得有异常局部破损、变形及表观缺陷。</w:t>
      </w:r>
    </w:p>
    <w:sectPr w:rsidR="00BA606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1837" w:rsidRDefault="00610DB9">
      <w:r>
        <w:separator/>
      </w:r>
    </w:p>
  </w:endnote>
  <w:endnote w:type="continuationSeparator" w:id="0">
    <w:p w:rsidR="00D01837" w:rsidRDefault="00610D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仿宋">
    <w:panose1 w:val="02010609060101010101"/>
    <w:charset w:val="86"/>
    <w:family w:val="modern"/>
    <w:pitch w:val="fixed"/>
    <w:sig w:usb0="800002BF" w:usb1="38CF7CFA" w:usb2="00000016" w:usb3="00000000" w:csb0="00040001" w:csb1="00000000"/>
  </w:font>
  <w:font w:name="等线">
    <w:altName w:val="Arial Unicode MS"/>
    <w:charset w:val="86"/>
    <w:family w:val="auto"/>
    <w:pitch w:val="variable"/>
    <w:sig w:usb0="00000000" w:usb1="38CF7CFA" w:usb2="00000016" w:usb3="00000000" w:csb0="0004000F" w:csb1="00000000"/>
  </w:font>
  <w:font w:name="MS Gothic">
    <w:altName w:val="ＭＳ ゴシック"/>
    <w:panose1 w:val="020B06090702050802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061" w:rsidRDefault="00BA6061">
    <w:pPr>
      <w:pStyle w:val="a6"/>
    </w:pPr>
  </w:p>
  <w:p w:rsidR="00BA6061" w:rsidRDefault="00BA6061">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061" w:rsidRDefault="00BA6061">
    <w:pPr>
      <w:pStyle w:val="a6"/>
    </w:pPr>
  </w:p>
  <w:p w:rsidR="00BA6061" w:rsidRDefault="00BA6061">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7509368"/>
      <w:docPartObj>
        <w:docPartGallery w:val="AutoText"/>
      </w:docPartObj>
    </w:sdtPr>
    <w:sdtEndPr/>
    <w:sdtContent>
      <w:sdt>
        <w:sdtPr>
          <w:id w:val="319164077"/>
          <w:docPartObj>
            <w:docPartGallery w:val="AutoText"/>
          </w:docPartObj>
        </w:sdtPr>
        <w:sdtEndPr/>
        <w:sdtContent>
          <w:p w:rsidR="00BA6061" w:rsidRDefault="00610DB9">
            <w:pPr>
              <w:pStyle w:val="a6"/>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F74E9C">
              <w:rPr>
                <w:b/>
                <w:bCs/>
                <w:noProof/>
              </w:rPr>
              <w:t>45</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F74E9C">
              <w:rPr>
                <w:b/>
                <w:bCs/>
                <w:noProof/>
              </w:rPr>
              <w:t>48</w:t>
            </w:r>
            <w:r>
              <w:rPr>
                <w:b/>
                <w:bCs/>
                <w:sz w:val="24"/>
                <w:szCs w:val="24"/>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1837" w:rsidRDefault="00610DB9">
      <w:r>
        <w:separator/>
      </w:r>
    </w:p>
  </w:footnote>
  <w:footnote w:type="continuationSeparator" w:id="0">
    <w:p w:rsidR="00D01837" w:rsidRDefault="00610D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B2EB946"/>
    <w:multiLevelType w:val="multilevel"/>
    <w:tmpl w:val="9B2EB946"/>
    <w:lvl w:ilvl="0">
      <w:start w:val="5"/>
      <w:numFmt w:val="decimal"/>
      <w:suff w:val="space"/>
      <w:lvlText w:val="%1"/>
      <w:lvlJc w:val="left"/>
      <w:pPr>
        <w:ind w:left="0" w:firstLine="0"/>
      </w:pPr>
      <w:rPr>
        <w:rFonts w:ascii="Times New Roman" w:eastAsia="宋体" w:hAnsi="Times New Roman" w:hint="default"/>
      </w:rPr>
    </w:lvl>
    <w:lvl w:ilvl="1">
      <w:start w:val="1"/>
      <w:numFmt w:val="decimal"/>
      <w:suff w:val="space"/>
      <w:lvlText w:val="%1.%2"/>
      <w:lvlJc w:val="left"/>
      <w:pPr>
        <w:ind w:left="567" w:hanging="567"/>
      </w:pPr>
      <w:rPr>
        <w:rFonts w:ascii="Times New Roman" w:eastAsia="黑体" w:hAnsi="Times New Roman" w:hint="default"/>
        <w:b/>
        <w:i w:val="0"/>
        <w:sz w:val="24"/>
      </w:rPr>
    </w:lvl>
    <w:lvl w:ilvl="2">
      <w:start w:val="1"/>
      <w:numFmt w:val="decimal"/>
      <w:suff w:val="space"/>
      <w:lvlText w:val="%1.2.%3"/>
      <w:lvlJc w:val="left"/>
      <w:pPr>
        <w:ind w:left="0" w:firstLine="0"/>
      </w:pPr>
      <w:rPr>
        <w:rFonts w:ascii="Times New Roman" w:eastAsia="宋体" w:hAnsi="Times New Roman" w:hint="default"/>
        <w:b/>
        <w:i w:val="0"/>
      </w:rPr>
    </w:lvl>
    <w:lvl w:ilvl="3">
      <w:start w:val="1"/>
      <w:numFmt w:val="decimal"/>
      <w:suff w:val="space"/>
      <w:lvlText w:val="%4"/>
      <w:lvlJc w:val="left"/>
      <w:pPr>
        <w:ind w:left="0" w:firstLine="454"/>
      </w:pPr>
      <w:rPr>
        <w:rFonts w:ascii="宋体" w:eastAsia="宋体" w:hAnsi="宋体" w:cs="宋体" w:hint="default"/>
        <w:b/>
        <w:i w:val="0"/>
        <w:sz w:val="24"/>
        <w:szCs w:val="24"/>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
    <w:nsid w:val="9E3FD1A2"/>
    <w:multiLevelType w:val="multilevel"/>
    <w:tmpl w:val="9E3FD1A2"/>
    <w:lvl w:ilvl="0">
      <w:start w:val="5"/>
      <w:numFmt w:val="decimal"/>
      <w:suff w:val="space"/>
      <w:lvlText w:val="%1"/>
      <w:lvlJc w:val="left"/>
      <w:pPr>
        <w:ind w:left="0" w:firstLine="0"/>
      </w:pPr>
      <w:rPr>
        <w:rFonts w:ascii="Times New Roman" w:eastAsia="宋体" w:hAnsi="Times New Roman" w:hint="default"/>
      </w:rPr>
    </w:lvl>
    <w:lvl w:ilvl="1">
      <w:start w:val="1"/>
      <w:numFmt w:val="decimal"/>
      <w:suff w:val="space"/>
      <w:lvlText w:val="%1.%2"/>
      <w:lvlJc w:val="left"/>
      <w:pPr>
        <w:ind w:left="567" w:hanging="567"/>
      </w:pPr>
      <w:rPr>
        <w:rFonts w:ascii="Times New Roman" w:eastAsia="黑体" w:hAnsi="Times New Roman" w:hint="default"/>
        <w:b/>
        <w:i w:val="0"/>
        <w:sz w:val="24"/>
      </w:rPr>
    </w:lvl>
    <w:lvl w:ilvl="2">
      <w:start w:val="1"/>
      <w:numFmt w:val="decimal"/>
      <w:suff w:val="space"/>
      <w:lvlText w:val="%1.2.%3"/>
      <w:lvlJc w:val="left"/>
      <w:pPr>
        <w:ind w:left="0" w:firstLine="0"/>
      </w:pPr>
      <w:rPr>
        <w:rFonts w:ascii="Times New Roman" w:eastAsia="宋体" w:hAnsi="Times New Roman" w:hint="default"/>
        <w:b/>
        <w:i w:val="0"/>
      </w:rPr>
    </w:lvl>
    <w:lvl w:ilvl="3">
      <w:start w:val="1"/>
      <w:numFmt w:val="decimal"/>
      <w:suff w:val="space"/>
      <w:lvlText w:val="%4"/>
      <w:lvlJc w:val="left"/>
      <w:pPr>
        <w:ind w:left="0" w:firstLine="454"/>
      </w:pPr>
      <w:rPr>
        <w:rFonts w:ascii="宋体" w:eastAsia="宋体" w:hAnsi="宋体" w:cs="宋体" w:hint="default"/>
        <w:b/>
        <w:i w:val="0"/>
        <w:sz w:val="24"/>
        <w:szCs w:val="24"/>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
    <w:nsid w:val="9ED1FD5D"/>
    <w:multiLevelType w:val="multilevel"/>
    <w:tmpl w:val="9ED1FD5D"/>
    <w:lvl w:ilvl="0">
      <w:start w:val="1"/>
      <w:numFmt w:val="decimal"/>
      <w:pStyle w:val="1"/>
      <w:suff w:val="nothing"/>
      <w:lvlText w:val="%1"/>
      <w:lvlJc w:val="left"/>
      <w:pPr>
        <w:ind w:left="0" w:firstLine="0"/>
      </w:pPr>
      <w:rPr>
        <w:rFonts w:ascii="黑体" w:eastAsia="黑体" w:hAnsi="黑体" w:cs="黑体" w:hint="default"/>
        <w:b/>
        <w:sz w:val="30"/>
        <w:szCs w:val="30"/>
      </w:rPr>
    </w:lvl>
    <w:lvl w:ilvl="1">
      <w:start w:val="1"/>
      <w:numFmt w:val="decimal"/>
      <w:suff w:val="space"/>
      <w:lvlText w:val="%1.%2"/>
      <w:lvlJc w:val="center"/>
      <w:pPr>
        <w:ind w:left="3398" w:firstLine="288"/>
      </w:pPr>
      <w:rPr>
        <w:rFonts w:ascii="黑体" w:eastAsia="黑体" w:hAnsi="黑体" w:cs="黑体" w:hint="default"/>
        <w:b/>
        <w:i w:val="0"/>
        <w:sz w:val="28"/>
        <w:szCs w:val="28"/>
      </w:rPr>
    </w:lvl>
    <w:lvl w:ilvl="2">
      <w:start w:val="1"/>
      <w:numFmt w:val="decimal"/>
      <w:suff w:val="nothing"/>
      <w:lvlText w:val="%1.%2.%3"/>
      <w:lvlJc w:val="left"/>
      <w:pPr>
        <w:tabs>
          <w:tab w:val="left" w:pos="284"/>
        </w:tabs>
        <w:ind w:left="993" w:hanging="709"/>
      </w:pPr>
      <w:rPr>
        <w:rFonts w:ascii="宋体" w:eastAsia="宋体" w:hAnsi="宋体" w:cs="宋体" w:hint="default"/>
        <w:b/>
        <w:bCs/>
        <w:sz w:val="24"/>
        <w:szCs w:val="24"/>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3">
    <w:nsid w:val="A4250450"/>
    <w:multiLevelType w:val="multilevel"/>
    <w:tmpl w:val="A4250450"/>
    <w:lvl w:ilvl="0">
      <w:start w:val="5"/>
      <w:numFmt w:val="decimal"/>
      <w:suff w:val="space"/>
      <w:lvlText w:val="%1"/>
      <w:lvlJc w:val="left"/>
      <w:pPr>
        <w:ind w:left="0" w:firstLine="0"/>
      </w:pPr>
      <w:rPr>
        <w:rFonts w:ascii="Times New Roman" w:eastAsia="宋体" w:hAnsi="Times New Roman" w:hint="default"/>
      </w:rPr>
    </w:lvl>
    <w:lvl w:ilvl="1">
      <w:start w:val="1"/>
      <w:numFmt w:val="decimal"/>
      <w:suff w:val="space"/>
      <w:lvlText w:val="%1.%2"/>
      <w:lvlJc w:val="left"/>
      <w:pPr>
        <w:ind w:left="567" w:hanging="567"/>
      </w:pPr>
      <w:rPr>
        <w:rFonts w:ascii="Times New Roman" w:eastAsia="黑体" w:hAnsi="Times New Roman" w:hint="default"/>
        <w:b/>
        <w:i w:val="0"/>
        <w:sz w:val="24"/>
      </w:rPr>
    </w:lvl>
    <w:lvl w:ilvl="2">
      <w:start w:val="1"/>
      <w:numFmt w:val="decimal"/>
      <w:suff w:val="space"/>
      <w:lvlText w:val="%1.2.%3"/>
      <w:lvlJc w:val="left"/>
      <w:pPr>
        <w:ind w:left="0" w:firstLine="0"/>
      </w:pPr>
      <w:rPr>
        <w:rFonts w:ascii="Times New Roman" w:eastAsia="宋体" w:hAnsi="Times New Roman" w:hint="default"/>
        <w:b/>
        <w:i w:val="0"/>
      </w:rPr>
    </w:lvl>
    <w:lvl w:ilvl="3">
      <w:start w:val="1"/>
      <w:numFmt w:val="decimal"/>
      <w:suff w:val="space"/>
      <w:lvlText w:val="%4"/>
      <w:lvlJc w:val="left"/>
      <w:pPr>
        <w:ind w:left="0" w:firstLine="454"/>
      </w:pPr>
      <w:rPr>
        <w:rFonts w:ascii="宋体" w:eastAsia="宋体" w:hAnsi="宋体" w:cs="宋体" w:hint="default"/>
        <w:b/>
        <w:i w:val="0"/>
        <w:sz w:val="24"/>
        <w:szCs w:val="24"/>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4">
    <w:nsid w:val="B1ED37C7"/>
    <w:multiLevelType w:val="multilevel"/>
    <w:tmpl w:val="B1ED37C7"/>
    <w:lvl w:ilvl="0">
      <w:start w:val="5"/>
      <w:numFmt w:val="decimal"/>
      <w:suff w:val="space"/>
      <w:lvlText w:val="%1"/>
      <w:lvlJc w:val="left"/>
      <w:pPr>
        <w:ind w:left="0" w:firstLine="0"/>
      </w:pPr>
      <w:rPr>
        <w:rFonts w:ascii="Times New Roman" w:eastAsia="宋体" w:hAnsi="Times New Roman" w:hint="default"/>
      </w:rPr>
    </w:lvl>
    <w:lvl w:ilvl="1">
      <w:start w:val="1"/>
      <w:numFmt w:val="decimal"/>
      <w:suff w:val="space"/>
      <w:lvlText w:val="%1.%2"/>
      <w:lvlJc w:val="left"/>
      <w:pPr>
        <w:ind w:left="567" w:hanging="567"/>
      </w:pPr>
      <w:rPr>
        <w:rFonts w:ascii="Times New Roman" w:eastAsia="黑体" w:hAnsi="Times New Roman" w:hint="default"/>
        <w:b/>
        <w:i w:val="0"/>
        <w:sz w:val="24"/>
      </w:rPr>
    </w:lvl>
    <w:lvl w:ilvl="2">
      <w:start w:val="1"/>
      <w:numFmt w:val="decimal"/>
      <w:suff w:val="space"/>
      <w:lvlText w:val="%1.2.%3"/>
      <w:lvlJc w:val="left"/>
      <w:pPr>
        <w:ind w:left="0" w:firstLine="0"/>
      </w:pPr>
      <w:rPr>
        <w:rFonts w:ascii="Times New Roman" w:eastAsia="宋体" w:hAnsi="Times New Roman" w:hint="default"/>
        <w:b/>
        <w:i w:val="0"/>
      </w:rPr>
    </w:lvl>
    <w:lvl w:ilvl="3">
      <w:start w:val="1"/>
      <w:numFmt w:val="decimal"/>
      <w:suff w:val="space"/>
      <w:lvlText w:val="%4"/>
      <w:lvlJc w:val="left"/>
      <w:pPr>
        <w:ind w:left="0" w:firstLine="454"/>
      </w:pPr>
      <w:rPr>
        <w:rFonts w:ascii="宋体" w:eastAsia="宋体" w:hAnsi="宋体" w:cs="宋体" w:hint="default"/>
        <w:b/>
        <w:i w:val="0"/>
        <w:sz w:val="24"/>
        <w:szCs w:val="24"/>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5">
    <w:nsid w:val="C6D844E0"/>
    <w:multiLevelType w:val="multilevel"/>
    <w:tmpl w:val="C6D844E0"/>
    <w:lvl w:ilvl="0">
      <w:start w:val="5"/>
      <w:numFmt w:val="decimal"/>
      <w:suff w:val="space"/>
      <w:lvlText w:val="%1"/>
      <w:lvlJc w:val="left"/>
      <w:pPr>
        <w:ind w:left="0" w:firstLine="0"/>
      </w:pPr>
      <w:rPr>
        <w:rFonts w:ascii="Times New Roman" w:eastAsia="宋体" w:hAnsi="Times New Roman" w:hint="default"/>
      </w:rPr>
    </w:lvl>
    <w:lvl w:ilvl="1">
      <w:start w:val="1"/>
      <w:numFmt w:val="decimal"/>
      <w:suff w:val="space"/>
      <w:lvlText w:val="%1.%2"/>
      <w:lvlJc w:val="left"/>
      <w:pPr>
        <w:ind w:left="567" w:hanging="567"/>
      </w:pPr>
      <w:rPr>
        <w:rFonts w:ascii="Times New Roman" w:eastAsia="黑体" w:hAnsi="Times New Roman" w:hint="default"/>
        <w:b/>
        <w:i w:val="0"/>
        <w:sz w:val="24"/>
      </w:rPr>
    </w:lvl>
    <w:lvl w:ilvl="2">
      <w:start w:val="1"/>
      <w:numFmt w:val="decimal"/>
      <w:suff w:val="space"/>
      <w:lvlText w:val="%1.2.%3"/>
      <w:lvlJc w:val="left"/>
      <w:pPr>
        <w:ind w:left="0" w:firstLine="0"/>
      </w:pPr>
      <w:rPr>
        <w:rFonts w:ascii="Times New Roman" w:eastAsia="宋体" w:hAnsi="Times New Roman" w:hint="default"/>
        <w:b/>
        <w:i w:val="0"/>
      </w:rPr>
    </w:lvl>
    <w:lvl w:ilvl="3">
      <w:start w:val="1"/>
      <w:numFmt w:val="decimal"/>
      <w:suff w:val="space"/>
      <w:lvlText w:val="%4"/>
      <w:lvlJc w:val="left"/>
      <w:pPr>
        <w:ind w:left="0" w:firstLine="454"/>
      </w:pPr>
      <w:rPr>
        <w:rFonts w:ascii="宋体" w:eastAsia="宋体" w:hAnsi="宋体" w:cs="宋体" w:hint="default"/>
        <w:b/>
        <w:i w:val="0"/>
        <w:sz w:val="24"/>
        <w:szCs w:val="24"/>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6">
    <w:nsid w:val="FFDCB0CD"/>
    <w:multiLevelType w:val="multilevel"/>
    <w:tmpl w:val="FFDCB0CD"/>
    <w:lvl w:ilvl="0">
      <w:start w:val="5"/>
      <w:numFmt w:val="decimal"/>
      <w:suff w:val="space"/>
      <w:lvlText w:val="%1"/>
      <w:lvlJc w:val="left"/>
      <w:pPr>
        <w:ind w:left="0" w:firstLine="0"/>
      </w:pPr>
      <w:rPr>
        <w:rFonts w:ascii="Times New Roman" w:eastAsia="宋体" w:hAnsi="Times New Roman" w:hint="default"/>
      </w:rPr>
    </w:lvl>
    <w:lvl w:ilvl="1">
      <w:start w:val="1"/>
      <w:numFmt w:val="decimal"/>
      <w:suff w:val="space"/>
      <w:lvlText w:val="%1.%2"/>
      <w:lvlJc w:val="left"/>
      <w:pPr>
        <w:ind w:left="567" w:hanging="567"/>
      </w:pPr>
      <w:rPr>
        <w:rFonts w:ascii="Times New Roman" w:eastAsia="黑体" w:hAnsi="Times New Roman" w:hint="default"/>
        <w:b/>
        <w:i w:val="0"/>
        <w:sz w:val="24"/>
      </w:rPr>
    </w:lvl>
    <w:lvl w:ilvl="2">
      <w:start w:val="1"/>
      <w:numFmt w:val="decimal"/>
      <w:suff w:val="space"/>
      <w:lvlText w:val="%1.2.%3"/>
      <w:lvlJc w:val="left"/>
      <w:pPr>
        <w:ind w:left="0" w:firstLine="0"/>
      </w:pPr>
      <w:rPr>
        <w:rFonts w:ascii="Times New Roman" w:eastAsia="宋体" w:hAnsi="Times New Roman" w:hint="default"/>
        <w:b/>
        <w:i w:val="0"/>
      </w:rPr>
    </w:lvl>
    <w:lvl w:ilvl="3">
      <w:start w:val="1"/>
      <w:numFmt w:val="decimal"/>
      <w:suff w:val="space"/>
      <w:lvlText w:val="%4"/>
      <w:lvlJc w:val="left"/>
      <w:pPr>
        <w:ind w:left="0" w:firstLine="454"/>
      </w:pPr>
      <w:rPr>
        <w:rFonts w:ascii="宋体" w:eastAsia="宋体" w:hAnsi="宋体" w:cs="宋体" w:hint="default"/>
        <w:b/>
        <w:i w:val="0"/>
        <w:sz w:val="24"/>
        <w:szCs w:val="24"/>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7">
    <w:nsid w:val="0C79ED88"/>
    <w:multiLevelType w:val="multilevel"/>
    <w:tmpl w:val="0C79ED88"/>
    <w:lvl w:ilvl="0">
      <w:start w:val="5"/>
      <w:numFmt w:val="decimal"/>
      <w:suff w:val="space"/>
      <w:lvlText w:val="%1"/>
      <w:lvlJc w:val="left"/>
      <w:pPr>
        <w:ind w:left="0" w:firstLine="0"/>
      </w:pPr>
      <w:rPr>
        <w:rFonts w:ascii="Times New Roman" w:eastAsia="宋体" w:hAnsi="Times New Roman" w:hint="default"/>
      </w:rPr>
    </w:lvl>
    <w:lvl w:ilvl="1">
      <w:start w:val="1"/>
      <w:numFmt w:val="decimal"/>
      <w:suff w:val="space"/>
      <w:lvlText w:val="%1.%2"/>
      <w:lvlJc w:val="left"/>
      <w:pPr>
        <w:ind w:left="567" w:hanging="567"/>
      </w:pPr>
      <w:rPr>
        <w:rFonts w:ascii="Times New Roman" w:eastAsia="黑体" w:hAnsi="Times New Roman" w:hint="default"/>
        <w:b/>
        <w:i w:val="0"/>
        <w:sz w:val="24"/>
      </w:rPr>
    </w:lvl>
    <w:lvl w:ilvl="2">
      <w:start w:val="1"/>
      <w:numFmt w:val="decimal"/>
      <w:suff w:val="space"/>
      <w:lvlText w:val="%1.2.%3"/>
      <w:lvlJc w:val="left"/>
      <w:pPr>
        <w:ind w:left="0" w:firstLine="0"/>
      </w:pPr>
      <w:rPr>
        <w:rFonts w:ascii="Times New Roman" w:eastAsia="宋体" w:hAnsi="Times New Roman" w:hint="default"/>
        <w:b/>
        <w:i w:val="0"/>
      </w:rPr>
    </w:lvl>
    <w:lvl w:ilvl="3">
      <w:start w:val="1"/>
      <w:numFmt w:val="decimal"/>
      <w:suff w:val="space"/>
      <w:lvlText w:val="%4"/>
      <w:lvlJc w:val="left"/>
      <w:pPr>
        <w:ind w:left="0" w:firstLine="454"/>
      </w:pPr>
      <w:rPr>
        <w:rFonts w:ascii="宋体" w:eastAsia="宋体" w:hAnsi="宋体" w:cs="宋体" w:hint="default"/>
        <w:b/>
        <w:i w:val="0"/>
        <w:sz w:val="24"/>
        <w:szCs w:val="24"/>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8">
    <w:nsid w:val="1080E3DB"/>
    <w:multiLevelType w:val="multilevel"/>
    <w:tmpl w:val="1080E3DB"/>
    <w:lvl w:ilvl="0">
      <w:start w:val="5"/>
      <w:numFmt w:val="decimal"/>
      <w:suff w:val="space"/>
      <w:lvlText w:val="%1"/>
      <w:lvlJc w:val="left"/>
      <w:pPr>
        <w:ind w:left="0" w:firstLine="0"/>
      </w:pPr>
      <w:rPr>
        <w:rFonts w:ascii="Times New Roman" w:eastAsia="宋体" w:hAnsi="Times New Roman" w:hint="default"/>
      </w:rPr>
    </w:lvl>
    <w:lvl w:ilvl="1">
      <w:start w:val="1"/>
      <w:numFmt w:val="decimal"/>
      <w:suff w:val="space"/>
      <w:lvlText w:val="%1.%2"/>
      <w:lvlJc w:val="left"/>
      <w:pPr>
        <w:ind w:left="567" w:hanging="567"/>
      </w:pPr>
      <w:rPr>
        <w:rFonts w:ascii="Times New Roman" w:eastAsia="黑体" w:hAnsi="Times New Roman" w:hint="default"/>
        <w:b/>
        <w:i w:val="0"/>
        <w:sz w:val="24"/>
      </w:rPr>
    </w:lvl>
    <w:lvl w:ilvl="2">
      <w:start w:val="1"/>
      <w:numFmt w:val="decimal"/>
      <w:suff w:val="space"/>
      <w:lvlText w:val="%1.2.%3"/>
      <w:lvlJc w:val="left"/>
      <w:pPr>
        <w:ind w:left="0" w:firstLine="0"/>
      </w:pPr>
      <w:rPr>
        <w:rFonts w:ascii="Times New Roman" w:eastAsia="宋体" w:hAnsi="Times New Roman" w:hint="default"/>
        <w:b/>
        <w:i w:val="0"/>
      </w:rPr>
    </w:lvl>
    <w:lvl w:ilvl="3">
      <w:start w:val="1"/>
      <w:numFmt w:val="decimal"/>
      <w:suff w:val="space"/>
      <w:lvlText w:val="%4"/>
      <w:lvlJc w:val="left"/>
      <w:pPr>
        <w:ind w:left="0" w:firstLine="454"/>
      </w:pPr>
      <w:rPr>
        <w:rFonts w:ascii="宋体" w:eastAsia="宋体" w:hAnsi="宋体" w:cs="宋体" w:hint="default"/>
        <w:b/>
        <w:i w:val="0"/>
        <w:sz w:val="24"/>
        <w:szCs w:val="24"/>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9">
    <w:nsid w:val="1BD186A7"/>
    <w:multiLevelType w:val="multilevel"/>
    <w:tmpl w:val="1BD186A7"/>
    <w:lvl w:ilvl="0">
      <w:start w:val="5"/>
      <w:numFmt w:val="decimal"/>
      <w:suff w:val="space"/>
      <w:lvlText w:val="%1"/>
      <w:lvlJc w:val="left"/>
      <w:pPr>
        <w:ind w:left="0" w:firstLine="0"/>
      </w:pPr>
      <w:rPr>
        <w:rFonts w:ascii="Times New Roman" w:eastAsia="宋体" w:hAnsi="Times New Roman" w:hint="default"/>
      </w:rPr>
    </w:lvl>
    <w:lvl w:ilvl="1">
      <w:start w:val="1"/>
      <w:numFmt w:val="decimal"/>
      <w:suff w:val="space"/>
      <w:lvlText w:val="%1.%2"/>
      <w:lvlJc w:val="left"/>
      <w:pPr>
        <w:ind w:left="567" w:hanging="567"/>
      </w:pPr>
      <w:rPr>
        <w:rFonts w:ascii="Times New Roman" w:eastAsia="黑体" w:hAnsi="Times New Roman" w:hint="default"/>
        <w:b/>
        <w:i w:val="0"/>
        <w:sz w:val="24"/>
      </w:rPr>
    </w:lvl>
    <w:lvl w:ilvl="2">
      <w:start w:val="1"/>
      <w:numFmt w:val="decimal"/>
      <w:suff w:val="space"/>
      <w:lvlText w:val="%1.2.%3"/>
      <w:lvlJc w:val="left"/>
      <w:pPr>
        <w:ind w:left="0" w:firstLine="0"/>
      </w:pPr>
      <w:rPr>
        <w:rFonts w:ascii="Times New Roman" w:eastAsia="宋体" w:hAnsi="Times New Roman" w:hint="default"/>
        <w:b/>
        <w:i w:val="0"/>
      </w:rPr>
    </w:lvl>
    <w:lvl w:ilvl="3">
      <w:start w:val="1"/>
      <w:numFmt w:val="decimal"/>
      <w:suff w:val="space"/>
      <w:lvlText w:val="%4"/>
      <w:lvlJc w:val="left"/>
      <w:pPr>
        <w:ind w:left="0" w:firstLine="454"/>
      </w:pPr>
      <w:rPr>
        <w:rFonts w:ascii="宋体" w:eastAsia="宋体" w:hAnsi="宋体" w:cs="宋体" w:hint="default"/>
        <w:b/>
        <w:i w:val="0"/>
        <w:sz w:val="24"/>
        <w:szCs w:val="24"/>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0">
    <w:nsid w:val="23224EC4"/>
    <w:multiLevelType w:val="multilevel"/>
    <w:tmpl w:val="23224EC4"/>
    <w:lvl w:ilvl="0">
      <w:start w:val="5"/>
      <w:numFmt w:val="decimal"/>
      <w:suff w:val="space"/>
      <w:lvlText w:val="%1"/>
      <w:lvlJc w:val="left"/>
      <w:pPr>
        <w:ind w:left="0" w:firstLine="0"/>
      </w:pPr>
      <w:rPr>
        <w:rFonts w:ascii="Times New Roman" w:eastAsia="宋体" w:hAnsi="Times New Roman" w:hint="default"/>
      </w:rPr>
    </w:lvl>
    <w:lvl w:ilvl="1">
      <w:start w:val="1"/>
      <w:numFmt w:val="decimal"/>
      <w:suff w:val="space"/>
      <w:lvlText w:val="%1.%2"/>
      <w:lvlJc w:val="left"/>
      <w:pPr>
        <w:ind w:left="567" w:hanging="567"/>
      </w:pPr>
      <w:rPr>
        <w:rFonts w:ascii="Times New Roman" w:eastAsia="黑体" w:hAnsi="Times New Roman" w:hint="default"/>
        <w:b/>
        <w:i w:val="0"/>
        <w:sz w:val="24"/>
      </w:rPr>
    </w:lvl>
    <w:lvl w:ilvl="2">
      <w:start w:val="1"/>
      <w:numFmt w:val="decimal"/>
      <w:suff w:val="space"/>
      <w:lvlText w:val="%1.2.%3"/>
      <w:lvlJc w:val="left"/>
      <w:pPr>
        <w:ind w:left="0" w:firstLine="0"/>
      </w:pPr>
      <w:rPr>
        <w:rFonts w:ascii="Times New Roman" w:eastAsia="宋体" w:hAnsi="Times New Roman" w:hint="default"/>
        <w:b/>
        <w:i w:val="0"/>
      </w:rPr>
    </w:lvl>
    <w:lvl w:ilvl="3">
      <w:start w:val="1"/>
      <w:numFmt w:val="decimal"/>
      <w:suff w:val="space"/>
      <w:lvlText w:val="%4"/>
      <w:lvlJc w:val="left"/>
      <w:pPr>
        <w:ind w:left="0" w:firstLine="454"/>
      </w:pPr>
      <w:rPr>
        <w:rFonts w:ascii="宋体" w:eastAsia="宋体" w:hAnsi="宋体" w:cs="宋体" w:hint="default"/>
        <w:b/>
        <w:i w:val="0"/>
        <w:sz w:val="24"/>
        <w:szCs w:val="24"/>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1">
    <w:nsid w:val="32AF24FE"/>
    <w:multiLevelType w:val="multilevel"/>
    <w:tmpl w:val="32AF24FE"/>
    <w:lvl w:ilvl="0">
      <w:start w:val="1"/>
      <w:numFmt w:val="decimal"/>
      <w:lvlText w:val="%1"/>
      <w:lvlJc w:val="left"/>
      <w:pPr>
        <w:ind w:left="735" w:hanging="735"/>
      </w:pPr>
      <w:rPr>
        <w:rFonts w:hint="default"/>
        <w:b/>
      </w:rPr>
    </w:lvl>
    <w:lvl w:ilvl="1">
      <w:numFmt w:val="decimal"/>
      <w:lvlText w:val="%1.%2"/>
      <w:lvlJc w:val="left"/>
      <w:pPr>
        <w:ind w:left="735" w:hanging="735"/>
      </w:pPr>
      <w:rPr>
        <w:rFonts w:hint="default"/>
        <w:b/>
      </w:rPr>
    </w:lvl>
    <w:lvl w:ilvl="2">
      <w:start w:val="1"/>
      <w:numFmt w:val="decimal"/>
      <w:lvlText w:val="%1.%2.%3"/>
      <w:lvlJc w:val="left"/>
      <w:pPr>
        <w:ind w:left="735" w:hanging="735"/>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2">
    <w:nsid w:val="3E56D946"/>
    <w:multiLevelType w:val="multilevel"/>
    <w:tmpl w:val="3E56D946"/>
    <w:lvl w:ilvl="0">
      <w:start w:val="5"/>
      <w:numFmt w:val="decimal"/>
      <w:suff w:val="space"/>
      <w:lvlText w:val="%1"/>
      <w:lvlJc w:val="left"/>
      <w:pPr>
        <w:ind w:left="0" w:firstLine="0"/>
      </w:pPr>
      <w:rPr>
        <w:rFonts w:ascii="Times New Roman" w:eastAsia="宋体" w:hAnsi="Times New Roman" w:hint="default"/>
      </w:rPr>
    </w:lvl>
    <w:lvl w:ilvl="1">
      <w:start w:val="1"/>
      <w:numFmt w:val="decimal"/>
      <w:suff w:val="space"/>
      <w:lvlText w:val="%1.%2"/>
      <w:lvlJc w:val="left"/>
      <w:pPr>
        <w:ind w:left="567" w:hanging="567"/>
      </w:pPr>
      <w:rPr>
        <w:rFonts w:ascii="Times New Roman" w:eastAsia="黑体" w:hAnsi="Times New Roman" w:hint="default"/>
        <w:b/>
        <w:i w:val="0"/>
        <w:sz w:val="24"/>
      </w:rPr>
    </w:lvl>
    <w:lvl w:ilvl="2">
      <w:start w:val="1"/>
      <w:numFmt w:val="decimal"/>
      <w:suff w:val="space"/>
      <w:lvlText w:val="%1.2.%3"/>
      <w:lvlJc w:val="left"/>
      <w:pPr>
        <w:ind w:left="0" w:firstLine="0"/>
      </w:pPr>
      <w:rPr>
        <w:rFonts w:ascii="Times New Roman" w:eastAsia="宋体" w:hAnsi="Times New Roman" w:hint="default"/>
        <w:b/>
        <w:i w:val="0"/>
      </w:rPr>
    </w:lvl>
    <w:lvl w:ilvl="3">
      <w:start w:val="1"/>
      <w:numFmt w:val="decimal"/>
      <w:suff w:val="space"/>
      <w:lvlText w:val="%4"/>
      <w:lvlJc w:val="left"/>
      <w:pPr>
        <w:ind w:left="0" w:firstLine="454"/>
      </w:pPr>
      <w:rPr>
        <w:rFonts w:ascii="宋体" w:eastAsia="宋体" w:hAnsi="宋体" w:cs="宋体" w:hint="default"/>
        <w:b/>
        <w:i w:val="0"/>
        <w:sz w:val="24"/>
        <w:szCs w:val="24"/>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3">
    <w:nsid w:val="4077ED7E"/>
    <w:multiLevelType w:val="multilevel"/>
    <w:tmpl w:val="4077ED7E"/>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pStyle w:val="3"/>
      <w:suff w:val="space"/>
      <w:lvlText w:val="%1.%2.%3."/>
      <w:lvlJc w:val="left"/>
      <w:pPr>
        <w:ind w:left="709" w:hanging="709"/>
      </w:pPr>
      <w:rPr>
        <w:rFonts w:hint="default"/>
        <w:b/>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14">
    <w:nsid w:val="4102AF10"/>
    <w:multiLevelType w:val="multilevel"/>
    <w:tmpl w:val="4102AF10"/>
    <w:lvl w:ilvl="0">
      <w:start w:val="5"/>
      <w:numFmt w:val="decimal"/>
      <w:suff w:val="space"/>
      <w:lvlText w:val="%1"/>
      <w:lvlJc w:val="left"/>
      <w:pPr>
        <w:ind w:left="0" w:firstLine="0"/>
      </w:pPr>
      <w:rPr>
        <w:rFonts w:ascii="Times New Roman" w:eastAsia="宋体" w:hAnsi="Times New Roman" w:hint="default"/>
      </w:rPr>
    </w:lvl>
    <w:lvl w:ilvl="1">
      <w:start w:val="1"/>
      <w:numFmt w:val="decimal"/>
      <w:suff w:val="space"/>
      <w:lvlText w:val="%1.%2"/>
      <w:lvlJc w:val="left"/>
      <w:pPr>
        <w:ind w:left="567" w:hanging="567"/>
      </w:pPr>
      <w:rPr>
        <w:rFonts w:ascii="Times New Roman" w:eastAsia="黑体" w:hAnsi="Times New Roman" w:hint="default"/>
        <w:b/>
        <w:i w:val="0"/>
        <w:sz w:val="24"/>
      </w:rPr>
    </w:lvl>
    <w:lvl w:ilvl="2">
      <w:start w:val="1"/>
      <w:numFmt w:val="decimal"/>
      <w:suff w:val="space"/>
      <w:lvlText w:val="%1.2.%3"/>
      <w:lvlJc w:val="left"/>
      <w:pPr>
        <w:ind w:left="0" w:firstLine="0"/>
      </w:pPr>
      <w:rPr>
        <w:rFonts w:ascii="Times New Roman" w:eastAsia="宋体" w:hAnsi="Times New Roman" w:hint="default"/>
        <w:b/>
        <w:i w:val="0"/>
      </w:rPr>
    </w:lvl>
    <w:lvl w:ilvl="3">
      <w:start w:val="1"/>
      <w:numFmt w:val="decimal"/>
      <w:suff w:val="space"/>
      <w:lvlText w:val="%4"/>
      <w:lvlJc w:val="left"/>
      <w:pPr>
        <w:ind w:left="0" w:firstLine="454"/>
      </w:pPr>
      <w:rPr>
        <w:rFonts w:ascii="宋体" w:eastAsia="宋体" w:hAnsi="宋体" w:cs="宋体" w:hint="default"/>
        <w:b/>
        <w:i w:val="0"/>
        <w:sz w:val="24"/>
        <w:szCs w:val="24"/>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5">
    <w:nsid w:val="50D95450"/>
    <w:multiLevelType w:val="multilevel"/>
    <w:tmpl w:val="50D95450"/>
    <w:lvl w:ilvl="0">
      <w:start w:val="1"/>
      <w:numFmt w:val="decimal"/>
      <w:lvlText w:val="%1"/>
      <w:lvlJc w:val="left"/>
      <w:pPr>
        <w:ind w:left="735" w:hanging="735"/>
      </w:pPr>
      <w:rPr>
        <w:rFonts w:hint="default"/>
        <w:b/>
      </w:rPr>
    </w:lvl>
    <w:lvl w:ilvl="1">
      <w:numFmt w:val="decimal"/>
      <w:lvlText w:val="%1.%2"/>
      <w:lvlJc w:val="left"/>
      <w:pPr>
        <w:ind w:left="735" w:hanging="735"/>
      </w:pPr>
      <w:rPr>
        <w:rFonts w:hint="default"/>
        <w:b/>
      </w:rPr>
    </w:lvl>
    <w:lvl w:ilvl="2">
      <w:start w:val="1"/>
      <w:numFmt w:val="decimal"/>
      <w:lvlText w:val="%1.%2.%3"/>
      <w:lvlJc w:val="left"/>
      <w:pPr>
        <w:ind w:left="735" w:hanging="735"/>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6">
    <w:nsid w:val="519E96FD"/>
    <w:multiLevelType w:val="multilevel"/>
    <w:tmpl w:val="519E96FD"/>
    <w:lvl w:ilvl="0">
      <w:start w:val="5"/>
      <w:numFmt w:val="decimal"/>
      <w:suff w:val="space"/>
      <w:lvlText w:val="%1"/>
      <w:lvlJc w:val="left"/>
      <w:pPr>
        <w:ind w:left="0" w:firstLine="0"/>
      </w:pPr>
      <w:rPr>
        <w:rFonts w:ascii="Times New Roman" w:eastAsia="宋体" w:hAnsi="Times New Roman" w:hint="default"/>
      </w:rPr>
    </w:lvl>
    <w:lvl w:ilvl="1">
      <w:start w:val="1"/>
      <w:numFmt w:val="decimal"/>
      <w:suff w:val="space"/>
      <w:lvlText w:val="%1.%2"/>
      <w:lvlJc w:val="left"/>
      <w:pPr>
        <w:ind w:left="567" w:hanging="567"/>
      </w:pPr>
      <w:rPr>
        <w:rFonts w:ascii="Times New Roman" w:eastAsia="黑体" w:hAnsi="Times New Roman" w:hint="default"/>
        <w:b/>
        <w:i w:val="0"/>
        <w:sz w:val="24"/>
      </w:rPr>
    </w:lvl>
    <w:lvl w:ilvl="2">
      <w:start w:val="1"/>
      <w:numFmt w:val="decimal"/>
      <w:suff w:val="space"/>
      <w:lvlText w:val="%1.2.%3"/>
      <w:lvlJc w:val="left"/>
      <w:pPr>
        <w:ind w:left="0" w:firstLine="0"/>
      </w:pPr>
      <w:rPr>
        <w:rFonts w:ascii="Times New Roman" w:eastAsia="宋体" w:hAnsi="Times New Roman" w:hint="default"/>
        <w:b/>
        <w:i w:val="0"/>
      </w:rPr>
    </w:lvl>
    <w:lvl w:ilvl="3">
      <w:start w:val="1"/>
      <w:numFmt w:val="decimal"/>
      <w:suff w:val="space"/>
      <w:lvlText w:val="%4"/>
      <w:lvlJc w:val="left"/>
      <w:pPr>
        <w:ind w:left="0" w:firstLine="454"/>
      </w:pPr>
      <w:rPr>
        <w:rFonts w:ascii="宋体" w:eastAsia="宋体" w:hAnsi="宋体" w:cs="宋体" w:hint="default"/>
        <w:b/>
        <w:i w:val="0"/>
        <w:sz w:val="24"/>
        <w:szCs w:val="24"/>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7">
    <w:nsid w:val="6F652C30"/>
    <w:multiLevelType w:val="multilevel"/>
    <w:tmpl w:val="6F652C30"/>
    <w:lvl w:ilvl="0">
      <w:start w:val="5"/>
      <w:numFmt w:val="decimal"/>
      <w:suff w:val="space"/>
      <w:lvlText w:val="%1"/>
      <w:lvlJc w:val="left"/>
      <w:pPr>
        <w:ind w:left="0" w:firstLine="0"/>
      </w:pPr>
      <w:rPr>
        <w:rFonts w:ascii="Times New Roman" w:eastAsia="宋体" w:hAnsi="Times New Roman" w:hint="default"/>
      </w:rPr>
    </w:lvl>
    <w:lvl w:ilvl="1">
      <w:start w:val="1"/>
      <w:numFmt w:val="decimal"/>
      <w:suff w:val="space"/>
      <w:lvlText w:val="%1.%2"/>
      <w:lvlJc w:val="left"/>
      <w:pPr>
        <w:ind w:left="567" w:hanging="567"/>
      </w:pPr>
      <w:rPr>
        <w:rFonts w:ascii="Times New Roman" w:eastAsia="黑体" w:hAnsi="Times New Roman" w:hint="default"/>
        <w:b/>
        <w:i w:val="0"/>
        <w:sz w:val="24"/>
      </w:rPr>
    </w:lvl>
    <w:lvl w:ilvl="2">
      <w:start w:val="1"/>
      <w:numFmt w:val="decimal"/>
      <w:suff w:val="space"/>
      <w:lvlText w:val="%1.2.%3"/>
      <w:lvlJc w:val="left"/>
      <w:pPr>
        <w:ind w:left="0" w:firstLine="0"/>
      </w:pPr>
      <w:rPr>
        <w:rFonts w:ascii="Times New Roman" w:eastAsia="宋体" w:hAnsi="Times New Roman" w:hint="default"/>
        <w:b/>
        <w:i w:val="0"/>
      </w:rPr>
    </w:lvl>
    <w:lvl w:ilvl="3">
      <w:start w:val="1"/>
      <w:numFmt w:val="decimal"/>
      <w:suff w:val="space"/>
      <w:lvlText w:val="%4"/>
      <w:lvlJc w:val="left"/>
      <w:pPr>
        <w:ind w:left="0" w:firstLine="454"/>
      </w:pPr>
      <w:rPr>
        <w:rFonts w:ascii="宋体" w:eastAsia="宋体" w:hAnsi="宋体" w:cs="宋体" w:hint="default"/>
        <w:b/>
        <w:i w:val="0"/>
        <w:sz w:val="24"/>
        <w:szCs w:val="24"/>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8">
    <w:nsid w:val="7EE4682E"/>
    <w:multiLevelType w:val="multilevel"/>
    <w:tmpl w:val="7EE4682E"/>
    <w:lvl w:ilvl="0">
      <w:start w:val="5"/>
      <w:numFmt w:val="decimal"/>
      <w:suff w:val="space"/>
      <w:lvlText w:val="%1"/>
      <w:lvlJc w:val="left"/>
      <w:pPr>
        <w:ind w:left="0" w:firstLine="0"/>
      </w:pPr>
      <w:rPr>
        <w:rFonts w:ascii="Times New Roman" w:eastAsia="宋体" w:hAnsi="Times New Roman" w:hint="default"/>
      </w:rPr>
    </w:lvl>
    <w:lvl w:ilvl="1">
      <w:start w:val="1"/>
      <w:numFmt w:val="decimal"/>
      <w:suff w:val="space"/>
      <w:lvlText w:val="%1.%2"/>
      <w:lvlJc w:val="left"/>
      <w:pPr>
        <w:ind w:left="567" w:hanging="567"/>
      </w:pPr>
      <w:rPr>
        <w:rFonts w:ascii="Times New Roman" w:eastAsia="黑体" w:hAnsi="Times New Roman" w:hint="default"/>
        <w:b/>
        <w:i w:val="0"/>
        <w:sz w:val="24"/>
      </w:rPr>
    </w:lvl>
    <w:lvl w:ilvl="2">
      <w:start w:val="1"/>
      <w:numFmt w:val="decimal"/>
      <w:suff w:val="space"/>
      <w:lvlText w:val="%1.2.%3"/>
      <w:lvlJc w:val="left"/>
      <w:pPr>
        <w:ind w:left="0" w:firstLine="0"/>
      </w:pPr>
      <w:rPr>
        <w:rFonts w:ascii="Times New Roman" w:eastAsia="宋体" w:hAnsi="Times New Roman" w:hint="default"/>
        <w:b/>
        <w:i w:val="0"/>
      </w:rPr>
    </w:lvl>
    <w:lvl w:ilvl="3">
      <w:start w:val="1"/>
      <w:numFmt w:val="decimal"/>
      <w:suff w:val="space"/>
      <w:lvlText w:val="%4"/>
      <w:lvlJc w:val="left"/>
      <w:pPr>
        <w:ind w:left="0" w:firstLine="454"/>
      </w:pPr>
      <w:rPr>
        <w:rFonts w:ascii="宋体" w:eastAsia="宋体" w:hAnsi="宋体" w:cs="宋体" w:hint="default"/>
        <w:b/>
        <w:i w:val="0"/>
        <w:sz w:val="24"/>
        <w:szCs w:val="24"/>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num w:numId="1">
    <w:abstractNumId w:val="2"/>
  </w:num>
  <w:num w:numId="2">
    <w:abstractNumId w:val="13"/>
  </w:num>
  <w:num w:numId="3">
    <w:abstractNumId w:val="15"/>
  </w:num>
  <w:num w:numId="4">
    <w:abstractNumId w:val="11"/>
  </w:num>
  <w:num w:numId="5">
    <w:abstractNumId w:val="4"/>
  </w:num>
  <w:num w:numId="6">
    <w:abstractNumId w:val="1"/>
  </w:num>
  <w:num w:numId="7">
    <w:abstractNumId w:val="6"/>
  </w:num>
  <w:num w:numId="8">
    <w:abstractNumId w:val="3"/>
  </w:num>
  <w:num w:numId="9">
    <w:abstractNumId w:val="12"/>
  </w:num>
  <w:num w:numId="10">
    <w:abstractNumId w:val="18"/>
  </w:num>
  <w:num w:numId="11">
    <w:abstractNumId w:val="7"/>
  </w:num>
  <w:num w:numId="12">
    <w:abstractNumId w:val="16"/>
  </w:num>
  <w:num w:numId="13">
    <w:abstractNumId w:val="5"/>
  </w:num>
  <w:num w:numId="14">
    <w:abstractNumId w:val="8"/>
  </w:num>
  <w:num w:numId="15">
    <w:abstractNumId w:val="14"/>
  </w:num>
  <w:num w:numId="16">
    <w:abstractNumId w:val="0"/>
  </w:num>
  <w:num w:numId="17">
    <w:abstractNumId w:val="9"/>
  </w:num>
  <w:num w:numId="18">
    <w:abstractNumId w:val="10"/>
  </w:num>
  <w:num w:numId="19">
    <w:abstractNumId w:val="17"/>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20"/>
  <w:drawingGridVerticalSpacing w:val="156"/>
  <w:noPunctuationKerning/>
  <w:characterSpacingControl w:val="compressPunctuation"/>
  <w:hdrShapeDefaults>
    <o:shapedefaults v:ext="edit" spidmax="10241"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M3MTQ4MGJjOTZlNjQzZTNhMzM2MDdjMWJhODk5M2QifQ=="/>
  </w:docVars>
  <w:rsids>
    <w:rsidRoot w:val="00EC64DC"/>
    <w:rsid w:val="00004D85"/>
    <w:rsid w:val="00010EC2"/>
    <w:rsid w:val="000117E8"/>
    <w:rsid w:val="00020CFF"/>
    <w:rsid w:val="00022C5B"/>
    <w:rsid w:val="000246F4"/>
    <w:rsid w:val="0003420A"/>
    <w:rsid w:val="00035AEB"/>
    <w:rsid w:val="00040975"/>
    <w:rsid w:val="000557BC"/>
    <w:rsid w:val="00065887"/>
    <w:rsid w:val="00081C3A"/>
    <w:rsid w:val="000822CF"/>
    <w:rsid w:val="0008368B"/>
    <w:rsid w:val="0008665F"/>
    <w:rsid w:val="00096D52"/>
    <w:rsid w:val="000A692F"/>
    <w:rsid w:val="000B1BB9"/>
    <w:rsid w:val="000B4A3D"/>
    <w:rsid w:val="000C5956"/>
    <w:rsid w:val="000C6DC1"/>
    <w:rsid w:val="000D6AE6"/>
    <w:rsid w:val="000E755F"/>
    <w:rsid w:val="000F44E9"/>
    <w:rsid w:val="000F4AD5"/>
    <w:rsid w:val="00115A81"/>
    <w:rsid w:val="001219B0"/>
    <w:rsid w:val="00127797"/>
    <w:rsid w:val="00141F8A"/>
    <w:rsid w:val="0014524A"/>
    <w:rsid w:val="00153939"/>
    <w:rsid w:val="00160DE7"/>
    <w:rsid w:val="00166072"/>
    <w:rsid w:val="00185B18"/>
    <w:rsid w:val="00185F15"/>
    <w:rsid w:val="00190BA8"/>
    <w:rsid w:val="001B523D"/>
    <w:rsid w:val="001B77E8"/>
    <w:rsid w:val="001D3EAF"/>
    <w:rsid w:val="00200BF0"/>
    <w:rsid w:val="00205476"/>
    <w:rsid w:val="0022702F"/>
    <w:rsid w:val="00232F9D"/>
    <w:rsid w:val="0023770B"/>
    <w:rsid w:val="00241CED"/>
    <w:rsid w:val="00241EEF"/>
    <w:rsid w:val="00246198"/>
    <w:rsid w:val="00253446"/>
    <w:rsid w:val="00261303"/>
    <w:rsid w:val="00265E04"/>
    <w:rsid w:val="002808DF"/>
    <w:rsid w:val="0028595D"/>
    <w:rsid w:val="00285BF2"/>
    <w:rsid w:val="00287FF1"/>
    <w:rsid w:val="00292A67"/>
    <w:rsid w:val="002A2217"/>
    <w:rsid w:val="002A3179"/>
    <w:rsid w:val="002B2E18"/>
    <w:rsid w:val="002C097E"/>
    <w:rsid w:val="002E0482"/>
    <w:rsid w:val="002E5B1A"/>
    <w:rsid w:val="002F13CF"/>
    <w:rsid w:val="0030540D"/>
    <w:rsid w:val="00317B21"/>
    <w:rsid w:val="00317EA1"/>
    <w:rsid w:val="00320CA5"/>
    <w:rsid w:val="00324971"/>
    <w:rsid w:val="00327C42"/>
    <w:rsid w:val="00327F8E"/>
    <w:rsid w:val="00336054"/>
    <w:rsid w:val="00354F4D"/>
    <w:rsid w:val="00366D5C"/>
    <w:rsid w:val="0036762C"/>
    <w:rsid w:val="003753F2"/>
    <w:rsid w:val="003807E2"/>
    <w:rsid w:val="0038161F"/>
    <w:rsid w:val="00383558"/>
    <w:rsid w:val="0038545C"/>
    <w:rsid w:val="00392554"/>
    <w:rsid w:val="003966F6"/>
    <w:rsid w:val="003C000F"/>
    <w:rsid w:val="003C6B4B"/>
    <w:rsid w:val="003D1702"/>
    <w:rsid w:val="003D427E"/>
    <w:rsid w:val="003D4AFC"/>
    <w:rsid w:val="003D6D56"/>
    <w:rsid w:val="003E199F"/>
    <w:rsid w:val="003E38FA"/>
    <w:rsid w:val="003E67F6"/>
    <w:rsid w:val="003F25CD"/>
    <w:rsid w:val="003F5A20"/>
    <w:rsid w:val="0040100F"/>
    <w:rsid w:val="004064E7"/>
    <w:rsid w:val="00406DCE"/>
    <w:rsid w:val="0042745D"/>
    <w:rsid w:val="00431FEC"/>
    <w:rsid w:val="004515F4"/>
    <w:rsid w:val="0045332E"/>
    <w:rsid w:val="004716DC"/>
    <w:rsid w:val="00473BF0"/>
    <w:rsid w:val="004824C1"/>
    <w:rsid w:val="00486800"/>
    <w:rsid w:val="0049298E"/>
    <w:rsid w:val="004A0C15"/>
    <w:rsid w:val="004B546A"/>
    <w:rsid w:val="004C6F54"/>
    <w:rsid w:val="004D0684"/>
    <w:rsid w:val="004E0972"/>
    <w:rsid w:val="004E1850"/>
    <w:rsid w:val="004E18B9"/>
    <w:rsid w:val="004E612E"/>
    <w:rsid w:val="004F3B2F"/>
    <w:rsid w:val="00507616"/>
    <w:rsid w:val="0051055E"/>
    <w:rsid w:val="00516090"/>
    <w:rsid w:val="00517F4D"/>
    <w:rsid w:val="00521D04"/>
    <w:rsid w:val="00527DF5"/>
    <w:rsid w:val="00530376"/>
    <w:rsid w:val="00532AC0"/>
    <w:rsid w:val="00540A4A"/>
    <w:rsid w:val="00544B71"/>
    <w:rsid w:val="00545878"/>
    <w:rsid w:val="00562346"/>
    <w:rsid w:val="0057150C"/>
    <w:rsid w:val="00575337"/>
    <w:rsid w:val="005775B6"/>
    <w:rsid w:val="00580D12"/>
    <w:rsid w:val="0058303C"/>
    <w:rsid w:val="00591717"/>
    <w:rsid w:val="005A1BC4"/>
    <w:rsid w:val="005A3028"/>
    <w:rsid w:val="005A4858"/>
    <w:rsid w:val="005B76B0"/>
    <w:rsid w:val="005C1623"/>
    <w:rsid w:val="005D3F95"/>
    <w:rsid w:val="005D4BB1"/>
    <w:rsid w:val="005D7B38"/>
    <w:rsid w:val="005E01A8"/>
    <w:rsid w:val="005F48FB"/>
    <w:rsid w:val="005F5413"/>
    <w:rsid w:val="00601031"/>
    <w:rsid w:val="00610DB9"/>
    <w:rsid w:val="006126EE"/>
    <w:rsid w:val="00616B64"/>
    <w:rsid w:val="006275D7"/>
    <w:rsid w:val="00636FD6"/>
    <w:rsid w:val="006454BE"/>
    <w:rsid w:val="0064649A"/>
    <w:rsid w:val="0065008C"/>
    <w:rsid w:val="00663AA7"/>
    <w:rsid w:val="00663DB5"/>
    <w:rsid w:val="006677B7"/>
    <w:rsid w:val="0069508B"/>
    <w:rsid w:val="0069548A"/>
    <w:rsid w:val="00695C58"/>
    <w:rsid w:val="006A688E"/>
    <w:rsid w:val="006A6F69"/>
    <w:rsid w:val="006A7D7B"/>
    <w:rsid w:val="006B049A"/>
    <w:rsid w:val="006B21FA"/>
    <w:rsid w:val="006D1537"/>
    <w:rsid w:val="006D2D68"/>
    <w:rsid w:val="006D347C"/>
    <w:rsid w:val="006D4C1F"/>
    <w:rsid w:val="006F373E"/>
    <w:rsid w:val="006F5B3A"/>
    <w:rsid w:val="006F7602"/>
    <w:rsid w:val="00704719"/>
    <w:rsid w:val="0071666F"/>
    <w:rsid w:val="007241D0"/>
    <w:rsid w:val="00724245"/>
    <w:rsid w:val="00724A77"/>
    <w:rsid w:val="0073551B"/>
    <w:rsid w:val="00735560"/>
    <w:rsid w:val="00742AB9"/>
    <w:rsid w:val="00747D73"/>
    <w:rsid w:val="00752BC4"/>
    <w:rsid w:val="00755F78"/>
    <w:rsid w:val="007566C1"/>
    <w:rsid w:val="007575E4"/>
    <w:rsid w:val="0077005D"/>
    <w:rsid w:val="007817F9"/>
    <w:rsid w:val="00786BDA"/>
    <w:rsid w:val="0079416B"/>
    <w:rsid w:val="007A01EF"/>
    <w:rsid w:val="007A1C1F"/>
    <w:rsid w:val="007A3701"/>
    <w:rsid w:val="007B109E"/>
    <w:rsid w:val="007B3750"/>
    <w:rsid w:val="007D49BC"/>
    <w:rsid w:val="00804B43"/>
    <w:rsid w:val="00806C0A"/>
    <w:rsid w:val="00811031"/>
    <w:rsid w:val="00817822"/>
    <w:rsid w:val="0082429B"/>
    <w:rsid w:val="008247D3"/>
    <w:rsid w:val="008641C1"/>
    <w:rsid w:val="008A19F9"/>
    <w:rsid w:val="008B13D2"/>
    <w:rsid w:val="008B2F79"/>
    <w:rsid w:val="008B429B"/>
    <w:rsid w:val="008B5B73"/>
    <w:rsid w:val="008B6480"/>
    <w:rsid w:val="008B7F9E"/>
    <w:rsid w:val="008C65C1"/>
    <w:rsid w:val="008D0891"/>
    <w:rsid w:val="008E7636"/>
    <w:rsid w:val="008F6632"/>
    <w:rsid w:val="00920F58"/>
    <w:rsid w:val="009354BC"/>
    <w:rsid w:val="00943A2D"/>
    <w:rsid w:val="009465FC"/>
    <w:rsid w:val="00957ACF"/>
    <w:rsid w:val="00964904"/>
    <w:rsid w:val="00964B69"/>
    <w:rsid w:val="009670DC"/>
    <w:rsid w:val="009713F4"/>
    <w:rsid w:val="009716AE"/>
    <w:rsid w:val="00987B97"/>
    <w:rsid w:val="009A7C2C"/>
    <w:rsid w:val="009B16EE"/>
    <w:rsid w:val="009D7232"/>
    <w:rsid w:val="009F5B1B"/>
    <w:rsid w:val="00A2628A"/>
    <w:rsid w:val="00A3079B"/>
    <w:rsid w:val="00A32D73"/>
    <w:rsid w:val="00A34053"/>
    <w:rsid w:val="00A34DBE"/>
    <w:rsid w:val="00A40DA6"/>
    <w:rsid w:val="00A511C5"/>
    <w:rsid w:val="00A52CCB"/>
    <w:rsid w:val="00A609ED"/>
    <w:rsid w:val="00A62806"/>
    <w:rsid w:val="00A66D21"/>
    <w:rsid w:val="00A67395"/>
    <w:rsid w:val="00A73ECB"/>
    <w:rsid w:val="00A81691"/>
    <w:rsid w:val="00A871B6"/>
    <w:rsid w:val="00AA2A0E"/>
    <w:rsid w:val="00AA3610"/>
    <w:rsid w:val="00AA4F5F"/>
    <w:rsid w:val="00AB12B4"/>
    <w:rsid w:val="00AB221E"/>
    <w:rsid w:val="00AE4B37"/>
    <w:rsid w:val="00AE7D50"/>
    <w:rsid w:val="00AF0A6E"/>
    <w:rsid w:val="00AF19AA"/>
    <w:rsid w:val="00AF7005"/>
    <w:rsid w:val="00B02A12"/>
    <w:rsid w:val="00B230F8"/>
    <w:rsid w:val="00B27AFE"/>
    <w:rsid w:val="00B42433"/>
    <w:rsid w:val="00B47156"/>
    <w:rsid w:val="00B535C2"/>
    <w:rsid w:val="00B546F3"/>
    <w:rsid w:val="00B551E3"/>
    <w:rsid w:val="00B60E03"/>
    <w:rsid w:val="00B6224E"/>
    <w:rsid w:val="00B642CE"/>
    <w:rsid w:val="00B65CA8"/>
    <w:rsid w:val="00B67AD1"/>
    <w:rsid w:val="00B760B1"/>
    <w:rsid w:val="00B76C04"/>
    <w:rsid w:val="00B974E7"/>
    <w:rsid w:val="00BA29D9"/>
    <w:rsid w:val="00BA6061"/>
    <w:rsid w:val="00BC092C"/>
    <w:rsid w:val="00BD4DC9"/>
    <w:rsid w:val="00BD7AC3"/>
    <w:rsid w:val="00BE380C"/>
    <w:rsid w:val="00BE6841"/>
    <w:rsid w:val="00BE6C44"/>
    <w:rsid w:val="00BE6C9F"/>
    <w:rsid w:val="00BF12E9"/>
    <w:rsid w:val="00BF28B6"/>
    <w:rsid w:val="00BF30A4"/>
    <w:rsid w:val="00BF645D"/>
    <w:rsid w:val="00C13B92"/>
    <w:rsid w:val="00C249CF"/>
    <w:rsid w:val="00C24C7A"/>
    <w:rsid w:val="00C25086"/>
    <w:rsid w:val="00C32A1D"/>
    <w:rsid w:val="00C378CE"/>
    <w:rsid w:val="00C40900"/>
    <w:rsid w:val="00C47E40"/>
    <w:rsid w:val="00C51D3F"/>
    <w:rsid w:val="00C627EE"/>
    <w:rsid w:val="00C77E63"/>
    <w:rsid w:val="00C83CD5"/>
    <w:rsid w:val="00CA301A"/>
    <w:rsid w:val="00CB1C09"/>
    <w:rsid w:val="00CB7DFB"/>
    <w:rsid w:val="00CC27A5"/>
    <w:rsid w:val="00CC3109"/>
    <w:rsid w:val="00CE4F8C"/>
    <w:rsid w:val="00CF3595"/>
    <w:rsid w:val="00CF52BB"/>
    <w:rsid w:val="00D003AE"/>
    <w:rsid w:val="00D01471"/>
    <w:rsid w:val="00D01837"/>
    <w:rsid w:val="00D01B63"/>
    <w:rsid w:val="00D317CB"/>
    <w:rsid w:val="00D3343B"/>
    <w:rsid w:val="00D37CAD"/>
    <w:rsid w:val="00D37DE9"/>
    <w:rsid w:val="00D416DF"/>
    <w:rsid w:val="00D46E4C"/>
    <w:rsid w:val="00D610D7"/>
    <w:rsid w:val="00D631F8"/>
    <w:rsid w:val="00D94676"/>
    <w:rsid w:val="00D9520B"/>
    <w:rsid w:val="00DA0D8F"/>
    <w:rsid w:val="00DA5397"/>
    <w:rsid w:val="00DB61C2"/>
    <w:rsid w:val="00DD4E96"/>
    <w:rsid w:val="00DD6CFF"/>
    <w:rsid w:val="00DD76E6"/>
    <w:rsid w:val="00DE6B93"/>
    <w:rsid w:val="00DF0E84"/>
    <w:rsid w:val="00DF1444"/>
    <w:rsid w:val="00DF2C3D"/>
    <w:rsid w:val="00DF76A3"/>
    <w:rsid w:val="00E24B26"/>
    <w:rsid w:val="00E35A49"/>
    <w:rsid w:val="00E408A8"/>
    <w:rsid w:val="00E61825"/>
    <w:rsid w:val="00E67FC1"/>
    <w:rsid w:val="00E71E19"/>
    <w:rsid w:val="00E83FC7"/>
    <w:rsid w:val="00E931E9"/>
    <w:rsid w:val="00EB7911"/>
    <w:rsid w:val="00EC01D5"/>
    <w:rsid w:val="00EC092F"/>
    <w:rsid w:val="00EC5C9B"/>
    <w:rsid w:val="00EC64DC"/>
    <w:rsid w:val="00ED3549"/>
    <w:rsid w:val="00ED3ACE"/>
    <w:rsid w:val="00ED7137"/>
    <w:rsid w:val="00EE53C4"/>
    <w:rsid w:val="00EE60CB"/>
    <w:rsid w:val="00EE7CA8"/>
    <w:rsid w:val="00EF2384"/>
    <w:rsid w:val="00EF39D6"/>
    <w:rsid w:val="00F00171"/>
    <w:rsid w:val="00F11220"/>
    <w:rsid w:val="00F12104"/>
    <w:rsid w:val="00F30C6A"/>
    <w:rsid w:val="00F342A9"/>
    <w:rsid w:val="00F429A3"/>
    <w:rsid w:val="00F465E5"/>
    <w:rsid w:val="00F47F75"/>
    <w:rsid w:val="00F65FD7"/>
    <w:rsid w:val="00F74E9C"/>
    <w:rsid w:val="00F751A1"/>
    <w:rsid w:val="00F80167"/>
    <w:rsid w:val="00F80485"/>
    <w:rsid w:val="00F845AE"/>
    <w:rsid w:val="00F86934"/>
    <w:rsid w:val="00F942A0"/>
    <w:rsid w:val="00F94F24"/>
    <w:rsid w:val="00F971CD"/>
    <w:rsid w:val="00F97970"/>
    <w:rsid w:val="00FA7C42"/>
    <w:rsid w:val="00FC1AB4"/>
    <w:rsid w:val="00FE1950"/>
    <w:rsid w:val="00FF01C8"/>
    <w:rsid w:val="00FF41B6"/>
    <w:rsid w:val="02FA438B"/>
    <w:rsid w:val="03E45BD9"/>
    <w:rsid w:val="04046FCB"/>
    <w:rsid w:val="05EC0902"/>
    <w:rsid w:val="06166E31"/>
    <w:rsid w:val="07EF7F4D"/>
    <w:rsid w:val="08764D63"/>
    <w:rsid w:val="11E132E5"/>
    <w:rsid w:val="13054DA0"/>
    <w:rsid w:val="145A737F"/>
    <w:rsid w:val="14B4658B"/>
    <w:rsid w:val="178C784F"/>
    <w:rsid w:val="17B40B54"/>
    <w:rsid w:val="189D786A"/>
    <w:rsid w:val="1A2C607F"/>
    <w:rsid w:val="1A78230D"/>
    <w:rsid w:val="1B241E91"/>
    <w:rsid w:val="1B2B55D1"/>
    <w:rsid w:val="1E412852"/>
    <w:rsid w:val="1F4153C3"/>
    <w:rsid w:val="20862B7C"/>
    <w:rsid w:val="245365AE"/>
    <w:rsid w:val="24F81363"/>
    <w:rsid w:val="25E9537C"/>
    <w:rsid w:val="269515B3"/>
    <w:rsid w:val="26B21247"/>
    <w:rsid w:val="2A3864C2"/>
    <w:rsid w:val="2A80009A"/>
    <w:rsid w:val="2BB86A0D"/>
    <w:rsid w:val="2DCD2CE5"/>
    <w:rsid w:val="31794E91"/>
    <w:rsid w:val="3225683B"/>
    <w:rsid w:val="33B026C0"/>
    <w:rsid w:val="33B770E1"/>
    <w:rsid w:val="33DE722D"/>
    <w:rsid w:val="33DF6B01"/>
    <w:rsid w:val="357F6188"/>
    <w:rsid w:val="362D3AC7"/>
    <w:rsid w:val="39F60425"/>
    <w:rsid w:val="3A7601BF"/>
    <w:rsid w:val="3B2E0A9A"/>
    <w:rsid w:val="3CCA2A44"/>
    <w:rsid w:val="3E79778F"/>
    <w:rsid w:val="3F74577A"/>
    <w:rsid w:val="3FDA11F0"/>
    <w:rsid w:val="3FDE33C0"/>
    <w:rsid w:val="41EA4FEF"/>
    <w:rsid w:val="4488746D"/>
    <w:rsid w:val="44F747D8"/>
    <w:rsid w:val="46D851CA"/>
    <w:rsid w:val="46FE6F6B"/>
    <w:rsid w:val="4A391EB1"/>
    <w:rsid w:val="4ADD7DE7"/>
    <w:rsid w:val="4B906C07"/>
    <w:rsid w:val="4C511029"/>
    <w:rsid w:val="4C5D11DF"/>
    <w:rsid w:val="4DF23BA9"/>
    <w:rsid w:val="4F47354A"/>
    <w:rsid w:val="4FE94B38"/>
    <w:rsid w:val="50096F88"/>
    <w:rsid w:val="503F29AA"/>
    <w:rsid w:val="50446212"/>
    <w:rsid w:val="51BA0872"/>
    <w:rsid w:val="534C7AEF"/>
    <w:rsid w:val="534D56D1"/>
    <w:rsid w:val="569D69D1"/>
    <w:rsid w:val="570109B9"/>
    <w:rsid w:val="573E5A57"/>
    <w:rsid w:val="57504E2F"/>
    <w:rsid w:val="57A24CF9"/>
    <w:rsid w:val="585554D2"/>
    <w:rsid w:val="58676F42"/>
    <w:rsid w:val="589F66DB"/>
    <w:rsid w:val="58C074B9"/>
    <w:rsid w:val="5A2D0DE5"/>
    <w:rsid w:val="5B3E45AD"/>
    <w:rsid w:val="5D867E6A"/>
    <w:rsid w:val="5DEC1935"/>
    <w:rsid w:val="5F351243"/>
    <w:rsid w:val="60114B68"/>
    <w:rsid w:val="62B40CA5"/>
    <w:rsid w:val="630A3FBC"/>
    <w:rsid w:val="636D1D75"/>
    <w:rsid w:val="63E678B4"/>
    <w:rsid w:val="645962D8"/>
    <w:rsid w:val="646D0BD2"/>
    <w:rsid w:val="65053D6A"/>
    <w:rsid w:val="65BD2897"/>
    <w:rsid w:val="668C1702"/>
    <w:rsid w:val="67FC0D6D"/>
    <w:rsid w:val="67FE16F7"/>
    <w:rsid w:val="684C6BA2"/>
    <w:rsid w:val="687234C5"/>
    <w:rsid w:val="68E321D4"/>
    <w:rsid w:val="6C5D623A"/>
    <w:rsid w:val="6DB137F1"/>
    <w:rsid w:val="6DCA3452"/>
    <w:rsid w:val="6DE11117"/>
    <w:rsid w:val="6DEE7A91"/>
    <w:rsid w:val="6E396833"/>
    <w:rsid w:val="6FA7312B"/>
    <w:rsid w:val="7046767C"/>
    <w:rsid w:val="737E18B7"/>
    <w:rsid w:val="73A55905"/>
    <w:rsid w:val="766B3F66"/>
    <w:rsid w:val="76C770D1"/>
    <w:rsid w:val="772C33D8"/>
    <w:rsid w:val="799A287B"/>
    <w:rsid w:val="79A454A8"/>
    <w:rsid w:val="7A0C0BB0"/>
    <w:rsid w:val="7A884182"/>
    <w:rsid w:val="7AC53F07"/>
    <w:rsid w:val="7B26465F"/>
    <w:rsid w:val="7B35042F"/>
    <w:rsid w:val="7C163E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qFormat="1"/>
    <w:lsdException w:name="toc 2" w:semiHidden="0" w:uiPriority="39" w:unhideWhenUsed="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semiHidden="0" w:uiPriority="1" w:qFormat="1"/>
    <w:lsdException w:name="Subtitle" w:semiHidden="0" w:uiPriority="11" w:unhideWhenUsed="0" w:qFormat="1"/>
    <w:lsdException w:name="Date" w:qFormat="1"/>
    <w:lsdException w:name="Hyperlink" w:semiHidden="0"/>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qFormat/>
    <w:pPr>
      <w:keepNext/>
      <w:keepLines/>
      <w:numPr>
        <w:numId w:val="1"/>
      </w:numPr>
      <w:spacing w:before="120" w:after="120"/>
      <w:jc w:val="center"/>
      <w:outlineLvl w:val="0"/>
    </w:pPr>
    <w:rPr>
      <w:b/>
      <w:bCs/>
      <w:kern w:val="44"/>
      <w:sz w:val="32"/>
      <w:szCs w:val="44"/>
    </w:rPr>
  </w:style>
  <w:style w:type="paragraph" w:styleId="2">
    <w:name w:val="heading 2"/>
    <w:basedOn w:val="a"/>
    <w:next w:val="a"/>
    <w:link w:val="2Char"/>
    <w:uiPriority w:val="9"/>
    <w:semiHidden/>
    <w:unhideWhenUsed/>
    <w:qFormat/>
    <w:pPr>
      <w:keepNext/>
      <w:keepLines/>
      <w:spacing w:before="260" w:after="260" w:line="413" w:lineRule="auto"/>
      <w:outlineLvl w:val="1"/>
    </w:pPr>
    <w:rPr>
      <w:rFonts w:ascii="Arial" w:eastAsia="黑体" w:hAnsi="Arial"/>
      <w:b/>
      <w:sz w:val="32"/>
    </w:rPr>
  </w:style>
  <w:style w:type="paragraph" w:styleId="3">
    <w:name w:val="heading 3"/>
    <w:next w:val="a"/>
    <w:link w:val="3Char"/>
    <w:uiPriority w:val="9"/>
    <w:qFormat/>
    <w:pPr>
      <w:numPr>
        <w:ilvl w:val="2"/>
        <w:numId w:val="2"/>
      </w:numPr>
      <w:tabs>
        <w:tab w:val="left" w:pos="0"/>
      </w:tabs>
      <w:spacing w:line="360" w:lineRule="auto"/>
      <w:outlineLvl w:val="2"/>
    </w:pPr>
    <w:rPr>
      <w:kern w:val="2"/>
      <w:sz w:val="21"/>
      <w:szCs w:val="30"/>
    </w:rPr>
  </w:style>
  <w:style w:type="paragraph" w:styleId="4">
    <w:name w:val="heading 4"/>
    <w:basedOn w:val="a"/>
    <w:next w:val="a"/>
    <w:link w:val="4Char"/>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30">
    <w:name w:val="toc 3"/>
    <w:basedOn w:val="a"/>
    <w:next w:val="a"/>
    <w:autoRedefine/>
    <w:uiPriority w:val="39"/>
    <w:semiHidden/>
    <w:unhideWhenUsed/>
    <w:qFormat/>
    <w:pPr>
      <w:widowControl/>
      <w:spacing w:after="100" w:line="276" w:lineRule="auto"/>
      <w:ind w:left="440"/>
      <w:jc w:val="left"/>
    </w:pPr>
    <w:rPr>
      <w:kern w:val="0"/>
      <w:sz w:val="22"/>
    </w:rPr>
  </w:style>
  <w:style w:type="paragraph" w:styleId="a4">
    <w:name w:val="Date"/>
    <w:basedOn w:val="a"/>
    <w:next w:val="a"/>
    <w:link w:val="Char0"/>
    <w:uiPriority w:val="99"/>
    <w:semiHidden/>
    <w:unhideWhenUsed/>
    <w:qFormat/>
    <w:pPr>
      <w:ind w:leftChars="2500" w:left="100"/>
    </w:pPr>
  </w:style>
  <w:style w:type="paragraph" w:styleId="a5">
    <w:name w:val="Balloon Text"/>
    <w:basedOn w:val="a"/>
    <w:link w:val="Char1"/>
    <w:uiPriority w:val="99"/>
    <w:semiHidden/>
    <w:unhideWhenUsed/>
    <w:qFormat/>
    <w:rPr>
      <w:sz w:val="18"/>
      <w:szCs w:val="18"/>
    </w:rPr>
  </w:style>
  <w:style w:type="paragraph" w:styleId="a6">
    <w:name w:val="footer"/>
    <w:basedOn w:val="a"/>
    <w:link w:val="Char2"/>
    <w:uiPriority w:val="99"/>
    <w:unhideWhenUsed/>
    <w:qFormat/>
    <w:pPr>
      <w:tabs>
        <w:tab w:val="center" w:pos="4153"/>
        <w:tab w:val="right" w:pos="8306"/>
      </w:tabs>
      <w:snapToGrid w:val="0"/>
      <w:jc w:val="right"/>
    </w:pPr>
    <w:rPr>
      <w:sz w:val="18"/>
      <w:szCs w:val="18"/>
    </w:rPr>
  </w:style>
  <w:style w:type="paragraph" w:styleId="a7">
    <w:name w:val="header"/>
    <w:basedOn w:val="a"/>
    <w:link w:val="Char3"/>
    <w:uiPriority w:val="99"/>
    <w:unhideWhenUsed/>
    <w:qFormat/>
    <w:pPr>
      <w:tabs>
        <w:tab w:val="center" w:pos="4153"/>
        <w:tab w:val="right" w:pos="8306"/>
      </w:tabs>
      <w:snapToGrid w:val="0"/>
      <w:jc w:val="center"/>
    </w:pPr>
    <w:rPr>
      <w:sz w:val="18"/>
      <w:szCs w:val="18"/>
    </w:rPr>
  </w:style>
  <w:style w:type="paragraph" w:styleId="10">
    <w:name w:val="toc 1"/>
    <w:basedOn w:val="a"/>
    <w:next w:val="a"/>
    <w:uiPriority w:val="39"/>
    <w:qFormat/>
    <w:rPr>
      <w:szCs w:val="24"/>
    </w:rPr>
  </w:style>
  <w:style w:type="paragraph" w:styleId="20">
    <w:name w:val="toc 2"/>
    <w:basedOn w:val="a"/>
    <w:next w:val="a"/>
    <w:uiPriority w:val="39"/>
    <w:qFormat/>
    <w:pPr>
      <w:ind w:leftChars="200" w:left="420"/>
    </w:pPr>
    <w:rPr>
      <w:szCs w:val="24"/>
    </w:rPr>
  </w:style>
  <w:style w:type="paragraph" w:styleId="a8">
    <w:name w:val="annotation subject"/>
    <w:basedOn w:val="a3"/>
    <w:next w:val="a3"/>
    <w:link w:val="Char4"/>
    <w:uiPriority w:val="99"/>
    <w:semiHidden/>
    <w:unhideWhenUsed/>
    <w:qFormat/>
    <w:rPr>
      <w:b/>
      <w:bCs/>
    </w:rPr>
  </w:style>
  <w:style w:type="table" w:styleId="a9">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Strong"/>
    <w:basedOn w:val="a0"/>
    <w:uiPriority w:val="22"/>
    <w:qFormat/>
    <w:rPr>
      <w:b/>
    </w:rPr>
  </w:style>
  <w:style w:type="character" w:styleId="ab">
    <w:name w:val="Hyperlink"/>
    <w:basedOn w:val="a0"/>
    <w:uiPriority w:val="99"/>
    <w:unhideWhenUsed/>
    <w:rPr>
      <w:color w:val="0000FF" w:themeColor="hyperlink"/>
      <w:u w:val="single"/>
    </w:rPr>
  </w:style>
  <w:style w:type="character" w:styleId="ac">
    <w:name w:val="annotation reference"/>
    <w:basedOn w:val="a0"/>
    <w:uiPriority w:val="99"/>
    <w:semiHidden/>
    <w:unhideWhenUsed/>
    <w:qFormat/>
    <w:rPr>
      <w:sz w:val="21"/>
      <w:szCs w:val="21"/>
    </w:rPr>
  </w:style>
  <w:style w:type="character" w:customStyle="1" w:styleId="3Char">
    <w:name w:val="标题 3 Char"/>
    <w:basedOn w:val="a0"/>
    <w:link w:val="3"/>
    <w:uiPriority w:val="9"/>
    <w:qFormat/>
    <w:rPr>
      <w:kern w:val="2"/>
      <w:sz w:val="21"/>
      <w:szCs w:val="30"/>
    </w:rPr>
  </w:style>
  <w:style w:type="character" w:customStyle="1" w:styleId="Char3">
    <w:name w:val="页眉 Char"/>
    <w:basedOn w:val="a0"/>
    <w:link w:val="a7"/>
    <w:uiPriority w:val="99"/>
    <w:qFormat/>
    <w:rPr>
      <w:sz w:val="18"/>
      <w:szCs w:val="18"/>
    </w:rPr>
  </w:style>
  <w:style w:type="character" w:customStyle="1" w:styleId="Char2">
    <w:name w:val="页脚 Char"/>
    <w:basedOn w:val="a0"/>
    <w:link w:val="a6"/>
    <w:uiPriority w:val="99"/>
    <w:qFormat/>
    <w:rPr>
      <w:rFonts w:asciiTheme="minorHAnsi" w:eastAsiaTheme="minorEastAsia" w:hAnsiTheme="minorHAnsi" w:cstheme="minorBidi"/>
      <w:kern w:val="2"/>
      <w:sz w:val="18"/>
      <w:szCs w:val="18"/>
    </w:rPr>
  </w:style>
  <w:style w:type="paragraph" w:styleId="ad">
    <w:name w:val="List Paragraph"/>
    <w:basedOn w:val="a"/>
    <w:uiPriority w:val="34"/>
    <w:qFormat/>
    <w:pPr>
      <w:ind w:firstLineChars="200" w:firstLine="420"/>
    </w:pPr>
  </w:style>
  <w:style w:type="character" w:customStyle="1" w:styleId="Char1">
    <w:name w:val="批注框文本 Char"/>
    <w:basedOn w:val="a0"/>
    <w:link w:val="a5"/>
    <w:uiPriority w:val="99"/>
    <w:semiHidden/>
    <w:qFormat/>
    <w:rPr>
      <w:rFonts w:asciiTheme="minorHAnsi" w:eastAsiaTheme="minorEastAsia" w:hAnsiTheme="minorHAnsi" w:cstheme="minorBidi"/>
      <w:kern w:val="2"/>
      <w:sz w:val="18"/>
      <w:szCs w:val="18"/>
    </w:rPr>
  </w:style>
  <w:style w:type="paragraph" w:customStyle="1" w:styleId="ds-markdown-paragraph">
    <w:name w:val="ds-markdown-paragraph"/>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Char0">
    <w:name w:val="日期 Char"/>
    <w:basedOn w:val="a0"/>
    <w:link w:val="a4"/>
    <w:uiPriority w:val="99"/>
    <w:semiHidden/>
    <w:qFormat/>
    <w:rPr>
      <w:rFonts w:asciiTheme="minorHAnsi" w:eastAsiaTheme="minorEastAsia" w:hAnsiTheme="minorHAnsi" w:cstheme="minorBidi"/>
      <w:kern w:val="2"/>
      <w:sz w:val="21"/>
      <w:szCs w:val="22"/>
    </w:rPr>
  </w:style>
  <w:style w:type="character" w:customStyle="1" w:styleId="1Char">
    <w:name w:val="标题 1 Char"/>
    <w:basedOn w:val="a0"/>
    <w:link w:val="1"/>
    <w:rPr>
      <w:rFonts w:asciiTheme="minorHAnsi" w:eastAsiaTheme="minorEastAsia" w:hAnsiTheme="minorHAnsi" w:cstheme="minorBidi"/>
      <w:b/>
      <w:bCs/>
      <w:kern w:val="44"/>
      <w:sz w:val="32"/>
      <w:szCs w:val="44"/>
    </w:rPr>
  </w:style>
  <w:style w:type="character" w:customStyle="1" w:styleId="2Char">
    <w:name w:val="标题 2 Char"/>
    <w:basedOn w:val="a0"/>
    <w:link w:val="2"/>
    <w:uiPriority w:val="9"/>
    <w:semiHidden/>
    <w:qFormat/>
    <w:rPr>
      <w:rFonts w:ascii="Arial" w:eastAsia="黑体" w:hAnsi="Arial" w:cstheme="minorBidi"/>
      <w:b/>
      <w:kern w:val="2"/>
      <w:sz w:val="32"/>
      <w:szCs w:val="22"/>
    </w:rPr>
  </w:style>
  <w:style w:type="character" w:customStyle="1" w:styleId="Char">
    <w:name w:val="批注文字 Char"/>
    <w:basedOn w:val="a0"/>
    <w:link w:val="a3"/>
    <w:uiPriority w:val="99"/>
    <w:semiHidden/>
    <w:qFormat/>
    <w:rPr>
      <w:rFonts w:asciiTheme="minorHAnsi" w:eastAsiaTheme="minorEastAsia" w:hAnsiTheme="minorHAnsi" w:cstheme="minorBidi"/>
      <w:kern w:val="2"/>
      <w:sz w:val="21"/>
      <w:szCs w:val="22"/>
    </w:rPr>
  </w:style>
  <w:style w:type="character" w:customStyle="1" w:styleId="ae">
    <w:name w:val="表题及表序号"/>
    <w:qFormat/>
    <w:rPr>
      <w:rFonts w:ascii="Times New Roman" w:eastAsia="黑体" w:hAnsi="Times New Roman" w:cs="Times New Roman" w:hint="default"/>
      <w:color w:val="auto"/>
      <w:sz w:val="18"/>
      <w:u w:val="none"/>
    </w:rPr>
  </w:style>
  <w:style w:type="character" w:customStyle="1" w:styleId="font21">
    <w:name w:val="font21"/>
    <w:basedOn w:val="a0"/>
    <w:qFormat/>
    <w:rPr>
      <w:rFonts w:ascii="宋体" w:eastAsia="宋体" w:hAnsi="宋体" w:cs="宋体"/>
      <w:color w:val="000000"/>
      <w:sz w:val="22"/>
      <w:szCs w:val="22"/>
      <w:u w:val="none"/>
    </w:rPr>
  </w:style>
  <w:style w:type="character" w:customStyle="1" w:styleId="font31">
    <w:name w:val="font31"/>
    <w:basedOn w:val="a0"/>
    <w:qFormat/>
    <w:rPr>
      <w:rFonts w:ascii="宋体" w:eastAsia="宋体" w:hAnsi="宋体" w:cs="宋体"/>
      <w:color w:val="000000"/>
      <w:sz w:val="22"/>
      <w:szCs w:val="22"/>
      <w:u w:val="none"/>
    </w:rPr>
  </w:style>
  <w:style w:type="character" w:customStyle="1" w:styleId="font41">
    <w:name w:val="font41"/>
    <w:basedOn w:val="a0"/>
    <w:qFormat/>
    <w:rPr>
      <w:rFonts w:ascii="宋体" w:eastAsia="宋体" w:hAnsi="宋体" w:cs="宋体"/>
      <w:color w:val="000000"/>
      <w:sz w:val="20"/>
      <w:szCs w:val="20"/>
      <w:u w:val="none"/>
    </w:rPr>
  </w:style>
  <w:style w:type="character" w:customStyle="1" w:styleId="font51">
    <w:name w:val="font51"/>
    <w:basedOn w:val="a0"/>
    <w:qFormat/>
    <w:rPr>
      <w:rFonts w:ascii="宋体" w:eastAsia="宋体" w:hAnsi="宋体" w:cs="宋体"/>
      <w:color w:val="000000"/>
      <w:sz w:val="22"/>
      <w:szCs w:val="22"/>
      <w:u w:val="none"/>
    </w:rPr>
  </w:style>
  <w:style w:type="character" w:customStyle="1" w:styleId="font61">
    <w:name w:val="font61"/>
    <w:basedOn w:val="a0"/>
    <w:qFormat/>
    <w:rPr>
      <w:rFonts w:ascii="Arial" w:hAnsi="Arial" w:cs="Arial"/>
      <w:color w:val="000000"/>
      <w:sz w:val="12"/>
      <w:szCs w:val="12"/>
      <w:u w:val="none"/>
    </w:rPr>
  </w:style>
  <w:style w:type="character" w:customStyle="1" w:styleId="font71">
    <w:name w:val="font71"/>
    <w:basedOn w:val="a0"/>
    <w:qFormat/>
    <w:rPr>
      <w:rFonts w:ascii="宋体" w:eastAsia="宋体" w:hAnsi="宋体" w:cs="宋体"/>
      <w:color w:val="000000"/>
      <w:sz w:val="6"/>
      <w:szCs w:val="6"/>
      <w:u w:val="none"/>
    </w:rPr>
  </w:style>
  <w:style w:type="character" w:customStyle="1" w:styleId="font81">
    <w:name w:val="font81"/>
    <w:basedOn w:val="a0"/>
    <w:qFormat/>
    <w:rPr>
      <w:rFonts w:ascii="Arial" w:hAnsi="Arial" w:cs="Arial" w:hint="default"/>
      <w:color w:val="000000"/>
      <w:sz w:val="10"/>
      <w:szCs w:val="10"/>
      <w:u w:val="none"/>
    </w:rPr>
  </w:style>
  <w:style w:type="character" w:customStyle="1" w:styleId="Char4">
    <w:name w:val="批注主题 Char"/>
    <w:basedOn w:val="Char"/>
    <w:link w:val="a8"/>
    <w:uiPriority w:val="99"/>
    <w:semiHidden/>
    <w:rPr>
      <w:rFonts w:asciiTheme="minorHAnsi" w:eastAsiaTheme="minorEastAsia" w:hAnsiTheme="minorHAnsi" w:cstheme="minorBidi"/>
      <w:b/>
      <w:bCs/>
      <w:kern w:val="2"/>
      <w:sz w:val="21"/>
      <w:szCs w:val="22"/>
    </w:rPr>
  </w:style>
  <w:style w:type="paragraph" w:customStyle="1" w:styleId="af">
    <w:name w:val="临时条文说明"/>
    <w:basedOn w:val="a"/>
    <w:link w:val="Char5"/>
    <w:qFormat/>
    <w:pPr>
      <w:spacing w:line="288" w:lineRule="auto"/>
    </w:pPr>
    <w:rPr>
      <w:rFonts w:ascii="宋体" w:eastAsia="宋体" w:hAnsi="宋体" w:cs="Times New Roman"/>
      <w:i/>
      <w:color w:val="00B050"/>
      <w:sz w:val="18"/>
      <w:szCs w:val="18"/>
    </w:rPr>
  </w:style>
  <w:style w:type="character" w:customStyle="1" w:styleId="Char5">
    <w:name w:val="临时条文说明 Char"/>
    <w:link w:val="af"/>
    <w:rPr>
      <w:rFonts w:ascii="宋体" w:hAnsi="宋体"/>
      <w:i/>
      <w:color w:val="00B050"/>
      <w:kern w:val="2"/>
      <w:sz w:val="18"/>
      <w:szCs w:val="18"/>
    </w:rPr>
  </w:style>
  <w:style w:type="character" w:customStyle="1" w:styleId="4Char">
    <w:name w:val="标题 4 Char"/>
    <w:basedOn w:val="a0"/>
    <w:link w:val="4"/>
    <w:uiPriority w:val="9"/>
    <w:semiHidden/>
    <w:rPr>
      <w:rFonts w:asciiTheme="majorHAnsi" w:eastAsiaTheme="majorEastAsia" w:hAnsiTheme="majorHAnsi" w:cstheme="majorBidi"/>
      <w:b/>
      <w:bCs/>
      <w:kern w:val="2"/>
      <w:sz w:val="28"/>
      <w:szCs w:val="28"/>
    </w:rPr>
  </w:style>
  <w:style w:type="paragraph" w:customStyle="1" w:styleId="TOC1">
    <w:name w:val="TOC 标题1"/>
    <w:basedOn w:val="1"/>
    <w:next w:val="a"/>
    <w:uiPriority w:val="39"/>
    <w:unhideWhenUsed/>
    <w:qFormat/>
    <w:pPr>
      <w:widowControl/>
      <w:numPr>
        <w:numId w:val="0"/>
      </w:numPr>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qFormat="1"/>
    <w:lsdException w:name="toc 2" w:semiHidden="0" w:uiPriority="39" w:unhideWhenUsed="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semiHidden="0" w:uiPriority="1" w:qFormat="1"/>
    <w:lsdException w:name="Subtitle" w:semiHidden="0" w:uiPriority="11" w:unhideWhenUsed="0" w:qFormat="1"/>
    <w:lsdException w:name="Date" w:qFormat="1"/>
    <w:lsdException w:name="Hyperlink" w:semiHidden="0"/>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qFormat/>
    <w:pPr>
      <w:keepNext/>
      <w:keepLines/>
      <w:numPr>
        <w:numId w:val="1"/>
      </w:numPr>
      <w:spacing w:before="120" w:after="120"/>
      <w:jc w:val="center"/>
      <w:outlineLvl w:val="0"/>
    </w:pPr>
    <w:rPr>
      <w:b/>
      <w:bCs/>
      <w:kern w:val="44"/>
      <w:sz w:val="32"/>
      <w:szCs w:val="44"/>
    </w:rPr>
  </w:style>
  <w:style w:type="paragraph" w:styleId="2">
    <w:name w:val="heading 2"/>
    <w:basedOn w:val="a"/>
    <w:next w:val="a"/>
    <w:link w:val="2Char"/>
    <w:uiPriority w:val="9"/>
    <w:semiHidden/>
    <w:unhideWhenUsed/>
    <w:qFormat/>
    <w:pPr>
      <w:keepNext/>
      <w:keepLines/>
      <w:spacing w:before="260" w:after="260" w:line="413" w:lineRule="auto"/>
      <w:outlineLvl w:val="1"/>
    </w:pPr>
    <w:rPr>
      <w:rFonts w:ascii="Arial" w:eastAsia="黑体" w:hAnsi="Arial"/>
      <w:b/>
      <w:sz w:val="32"/>
    </w:rPr>
  </w:style>
  <w:style w:type="paragraph" w:styleId="3">
    <w:name w:val="heading 3"/>
    <w:next w:val="a"/>
    <w:link w:val="3Char"/>
    <w:uiPriority w:val="9"/>
    <w:qFormat/>
    <w:pPr>
      <w:numPr>
        <w:ilvl w:val="2"/>
        <w:numId w:val="2"/>
      </w:numPr>
      <w:tabs>
        <w:tab w:val="left" w:pos="0"/>
      </w:tabs>
      <w:spacing w:line="360" w:lineRule="auto"/>
      <w:outlineLvl w:val="2"/>
    </w:pPr>
    <w:rPr>
      <w:kern w:val="2"/>
      <w:sz w:val="21"/>
      <w:szCs w:val="30"/>
    </w:rPr>
  </w:style>
  <w:style w:type="paragraph" w:styleId="4">
    <w:name w:val="heading 4"/>
    <w:basedOn w:val="a"/>
    <w:next w:val="a"/>
    <w:link w:val="4Char"/>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qFormat/>
    <w:pPr>
      <w:jc w:val="left"/>
    </w:pPr>
  </w:style>
  <w:style w:type="paragraph" w:styleId="30">
    <w:name w:val="toc 3"/>
    <w:basedOn w:val="a"/>
    <w:next w:val="a"/>
    <w:autoRedefine/>
    <w:uiPriority w:val="39"/>
    <w:semiHidden/>
    <w:unhideWhenUsed/>
    <w:qFormat/>
    <w:pPr>
      <w:widowControl/>
      <w:spacing w:after="100" w:line="276" w:lineRule="auto"/>
      <w:ind w:left="440"/>
      <w:jc w:val="left"/>
    </w:pPr>
    <w:rPr>
      <w:kern w:val="0"/>
      <w:sz w:val="22"/>
    </w:rPr>
  </w:style>
  <w:style w:type="paragraph" w:styleId="a4">
    <w:name w:val="Date"/>
    <w:basedOn w:val="a"/>
    <w:next w:val="a"/>
    <w:link w:val="Char0"/>
    <w:uiPriority w:val="99"/>
    <w:semiHidden/>
    <w:unhideWhenUsed/>
    <w:qFormat/>
    <w:pPr>
      <w:ind w:leftChars="2500" w:left="100"/>
    </w:pPr>
  </w:style>
  <w:style w:type="paragraph" w:styleId="a5">
    <w:name w:val="Balloon Text"/>
    <w:basedOn w:val="a"/>
    <w:link w:val="Char1"/>
    <w:uiPriority w:val="99"/>
    <w:semiHidden/>
    <w:unhideWhenUsed/>
    <w:qFormat/>
    <w:rPr>
      <w:sz w:val="18"/>
      <w:szCs w:val="18"/>
    </w:rPr>
  </w:style>
  <w:style w:type="paragraph" w:styleId="a6">
    <w:name w:val="footer"/>
    <w:basedOn w:val="a"/>
    <w:link w:val="Char2"/>
    <w:uiPriority w:val="99"/>
    <w:unhideWhenUsed/>
    <w:qFormat/>
    <w:pPr>
      <w:tabs>
        <w:tab w:val="center" w:pos="4153"/>
        <w:tab w:val="right" w:pos="8306"/>
      </w:tabs>
      <w:snapToGrid w:val="0"/>
      <w:jc w:val="right"/>
    </w:pPr>
    <w:rPr>
      <w:sz w:val="18"/>
      <w:szCs w:val="18"/>
    </w:rPr>
  </w:style>
  <w:style w:type="paragraph" w:styleId="a7">
    <w:name w:val="header"/>
    <w:basedOn w:val="a"/>
    <w:link w:val="Char3"/>
    <w:uiPriority w:val="99"/>
    <w:unhideWhenUsed/>
    <w:qFormat/>
    <w:pPr>
      <w:tabs>
        <w:tab w:val="center" w:pos="4153"/>
        <w:tab w:val="right" w:pos="8306"/>
      </w:tabs>
      <w:snapToGrid w:val="0"/>
      <w:jc w:val="center"/>
    </w:pPr>
    <w:rPr>
      <w:sz w:val="18"/>
      <w:szCs w:val="18"/>
    </w:rPr>
  </w:style>
  <w:style w:type="paragraph" w:styleId="10">
    <w:name w:val="toc 1"/>
    <w:basedOn w:val="a"/>
    <w:next w:val="a"/>
    <w:uiPriority w:val="39"/>
    <w:qFormat/>
    <w:rPr>
      <w:szCs w:val="24"/>
    </w:rPr>
  </w:style>
  <w:style w:type="paragraph" w:styleId="20">
    <w:name w:val="toc 2"/>
    <w:basedOn w:val="a"/>
    <w:next w:val="a"/>
    <w:uiPriority w:val="39"/>
    <w:qFormat/>
    <w:pPr>
      <w:ind w:leftChars="200" w:left="420"/>
    </w:pPr>
    <w:rPr>
      <w:szCs w:val="24"/>
    </w:rPr>
  </w:style>
  <w:style w:type="paragraph" w:styleId="a8">
    <w:name w:val="annotation subject"/>
    <w:basedOn w:val="a3"/>
    <w:next w:val="a3"/>
    <w:link w:val="Char4"/>
    <w:uiPriority w:val="99"/>
    <w:semiHidden/>
    <w:unhideWhenUsed/>
    <w:qFormat/>
    <w:rPr>
      <w:b/>
      <w:bCs/>
    </w:rPr>
  </w:style>
  <w:style w:type="table" w:styleId="a9">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Strong"/>
    <w:basedOn w:val="a0"/>
    <w:uiPriority w:val="22"/>
    <w:qFormat/>
    <w:rPr>
      <w:b/>
    </w:rPr>
  </w:style>
  <w:style w:type="character" w:styleId="ab">
    <w:name w:val="Hyperlink"/>
    <w:basedOn w:val="a0"/>
    <w:uiPriority w:val="99"/>
    <w:unhideWhenUsed/>
    <w:rPr>
      <w:color w:val="0000FF" w:themeColor="hyperlink"/>
      <w:u w:val="single"/>
    </w:rPr>
  </w:style>
  <w:style w:type="character" w:styleId="ac">
    <w:name w:val="annotation reference"/>
    <w:basedOn w:val="a0"/>
    <w:uiPriority w:val="99"/>
    <w:semiHidden/>
    <w:unhideWhenUsed/>
    <w:qFormat/>
    <w:rPr>
      <w:sz w:val="21"/>
      <w:szCs w:val="21"/>
    </w:rPr>
  </w:style>
  <w:style w:type="character" w:customStyle="1" w:styleId="3Char">
    <w:name w:val="标题 3 Char"/>
    <w:basedOn w:val="a0"/>
    <w:link w:val="3"/>
    <w:uiPriority w:val="9"/>
    <w:qFormat/>
    <w:rPr>
      <w:kern w:val="2"/>
      <w:sz w:val="21"/>
      <w:szCs w:val="30"/>
    </w:rPr>
  </w:style>
  <w:style w:type="character" w:customStyle="1" w:styleId="Char3">
    <w:name w:val="页眉 Char"/>
    <w:basedOn w:val="a0"/>
    <w:link w:val="a7"/>
    <w:uiPriority w:val="99"/>
    <w:qFormat/>
    <w:rPr>
      <w:sz w:val="18"/>
      <w:szCs w:val="18"/>
    </w:rPr>
  </w:style>
  <w:style w:type="character" w:customStyle="1" w:styleId="Char2">
    <w:name w:val="页脚 Char"/>
    <w:basedOn w:val="a0"/>
    <w:link w:val="a6"/>
    <w:uiPriority w:val="99"/>
    <w:qFormat/>
    <w:rPr>
      <w:rFonts w:asciiTheme="minorHAnsi" w:eastAsiaTheme="minorEastAsia" w:hAnsiTheme="minorHAnsi" w:cstheme="minorBidi"/>
      <w:kern w:val="2"/>
      <w:sz w:val="18"/>
      <w:szCs w:val="18"/>
    </w:rPr>
  </w:style>
  <w:style w:type="paragraph" w:styleId="ad">
    <w:name w:val="List Paragraph"/>
    <w:basedOn w:val="a"/>
    <w:uiPriority w:val="34"/>
    <w:qFormat/>
    <w:pPr>
      <w:ind w:firstLineChars="200" w:firstLine="420"/>
    </w:pPr>
  </w:style>
  <w:style w:type="character" w:customStyle="1" w:styleId="Char1">
    <w:name w:val="批注框文本 Char"/>
    <w:basedOn w:val="a0"/>
    <w:link w:val="a5"/>
    <w:uiPriority w:val="99"/>
    <w:semiHidden/>
    <w:qFormat/>
    <w:rPr>
      <w:rFonts w:asciiTheme="minorHAnsi" w:eastAsiaTheme="minorEastAsia" w:hAnsiTheme="minorHAnsi" w:cstheme="minorBidi"/>
      <w:kern w:val="2"/>
      <w:sz w:val="18"/>
      <w:szCs w:val="18"/>
    </w:rPr>
  </w:style>
  <w:style w:type="paragraph" w:customStyle="1" w:styleId="ds-markdown-paragraph">
    <w:name w:val="ds-markdown-paragraph"/>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Char0">
    <w:name w:val="日期 Char"/>
    <w:basedOn w:val="a0"/>
    <w:link w:val="a4"/>
    <w:uiPriority w:val="99"/>
    <w:semiHidden/>
    <w:qFormat/>
    <w:rPr>
      <w:rFonts w:asciiTheme="minorHAnsi" w:eastAsiaTheme="minorEastAsia" w:hAnsiTheme="minorHAnsi" w:cstheme="minorBidi"/>
      <w:kern w:val="2"/>
      <w:sz w:val="21"/>
      <w:szCs w:val="22"/>
    </w:rPr>
  </w:style>
  <w:style w:type="character" w:customStyle="1" w:styleId="1Char">
    <w:name w:val="标题 1 Char"/>
    <w:basedOn w:val="a0"/>
    <w:link w:val="1"/>
    <w:rPr>
      <w:rFonts w:asciiTheme="minorHAnsi" w:eastAsiaTheme="minorEastAsia" w:hAnsiTheme="minorHAnsi" w:cstheme="minorBidi"/>
      <w:b/>
      <w:bCs/>
      <w:kern w:val="44"/>
      <w:sz w:val="32"/>
      <w:szCs w:val="44"/>
    </w:rPr>
  </w:style>
  <w:style w:type="character" w:customStyle="1" w:styleId="2Char">
    <w:name w:val="标题 2 Char"/>
    <w:basedOn w:val="a0"/>
    <w:link w:val="2"/>
    <w:uiPriority w:val="9"/>
    <w:semiHidden/>
    <w:qFormat/>
    <w:rPr>
      <w:rFonts w:ascii="Arial" w:eastAsia="黑体" w:hAnsi="Arial" w:cstheme="minorBidi"/>
      <w:b/>
      <w:kern w:val="2"/>
      <w:sz w:val="32"/>
      <w:szCs w:val="22"/>
    </w:rPr>
  </w:style>
  <w:style w:type="character" w:customStyle="1" w:styleId="Char">
    <w:name w:val="批注文字 Char"/>
    <w:basedOn w:val="a0"/>
    <w:link w:val="a3"/>
    <w:uiPriority w:val="99"/>
    <w:semiHidden/>
    <w:qFormat/>
    <w:rPr>
      <w:rFonts w:asciiTheme="minorHAnsi" w:eastAsiaTheme="minorEastAsia" w:hAnsiTheme="minorHAnsi" w:cstheme="minorBidi"/>
      <w:kern w:val="2"/>
      <w:sz w:val="21"/>
      <w:szCs w:val="22"/>
    </w:rPr>
  </w:style>
  <w:style w:type="character" w:customStyle="1" w:styleId="ae">
    <w:name w:val="表题及表序号"/>
    <w:qFormat/>
    <w:rPr>
      <w:rFonts w:ascii="Times New Roman" w:eastAsia="黑体" w:hAnsi="Times New Roman" w:cs="Times New Roman" w:hint="default"/>
      <w:color w:val="auto"/>
      <w:sz w:val="18"/>
      <w:u w:val="none"/>
    </w:rPr>
  </w:style>
  <w:style w:type="character" w:customStyle="1" w:styleId="font21">
    <w:name w:val="font21"/>
    <w:basedOn w:val="a0"/>
    <w:qFormat/>
    <w:rPr>
      <w:rFonts w:ascii="宋体" w:eastAsia="宋体" w:hAnsi="宋体" w:cs="宋体"/>
      <w:color w:val="000000"/>
      <w:sz w:val="22"/>
      <w:szCs w:val="22"/>
      <w:u w:val="none"/>
    </w:rPr>
  </w:style>
  <w:style w:type="character" w:customStyle="1" w:styleId="font31">
    <w:name w:val="font31"/>
    <w:basedOn w:val="a0"/>
    <w:qFormat/>
    <w:rPr>
      <w:rFonts w:ascii="宋体" w:eastAsia="宋体" w:hAnsi="宋体" w:cs="宋体"/>
      <w:color w:val="000000"/>
      <w:sz w:val="22"/>
      <w:szCs w:val="22"/>
      <w:u w:val="none"/>
    </w:rPr>
  </w:style>
  <w:style w:type="character" w:customStyle="1" w:styleId="font41">
    <w:name w:val="font41"/>
    <w:basedOn w:val="a0"/>
    <w:qFormat/>
    <w:rPr>
      <w:rFonts w:ascii="宋体" w:eastAsia="宋体" w:hAnsi="宋体" w:cs="宋体"/>
      <w:color w:val="000000"/>
      <w:sz w:val="20"/>
      <w:szCs w:val="20"/>
      <w:u w:val="none"/>
    </w:rPr>
  </w:style>
  <w:style w:type="character" w:customStyle="1" w:styleId="font51">
    <w:name w:val="font51"/>
    <w:basedOn w:val="a0"/>
    <w:qFormat/>
    <w:rPr>
      <w:rFonts w:ascii="宋体" w:eastAsia="宋体" w:hAnsi="宋体" w:cs="宋体"/>
      <w:color w:val="000000"/>
      <w:sz w:val="22"/>
      <w:szCs w:val="22"/>
      <w:u w:val="none"/>
    </w:rPr>
  </w:style>
  <w:style w:type="character" w:customStyle="1" w:styleId="font61">
    <w:name w:val="font61"/>
    <w:basedOn w:val="a0"/>
    <w:qFormat/>
    <w:rPr>
      <w:rFonts w:ascii="Arial" w:hAnsi="Arial" w:cs="Arial"/>
      <w:color w:val="000000"/>
      <w:sz w:val="12"/>
      <w:szCs w:val="12"/>
      <w:u w:val="none"/>
    </w:rPr>
  </w:style>
  <w:style w:type="character" w:customStyle="1" w:styleId="font71">
    <w:name w:val="font71"/>
    <w:basedOn w:val="a0"/>
    <w:qFormat/>
    <w:rPr>
      <w:rFonts w:ascii="宋体" w:eastAsia="宋体" w:hAnsi="宋体" w:cs="宋体"/>
      <w:color w:val="000000"/>
      <w:sz w:val="6"/>
      <w:szCs w:val="6"/>
      <w:u w:val="none"/>
    </w:rPr>
  </w:style>
  <w:style w:type="character" w:customStyle="1" w:styleId="font81">
    <w:name w:val="font81"/>
    <w:basedOn w:val="a0"/>
    <w:qFormat/>
    <w:rPr>
      <w:rFonts w:ascii="Arial" w:hAnsi="Arial" w:cs="Arial" w:hint="default"/>
      <w:color w:val="000000"/>
      <w:sz w:val="10"/>
      <w:szCs w:val="10"/>
      <w:u w:val="none"/>
    </w:rPr>
  </w:style>
  <w:style w:type="character" w:customStyle="1" w:styleId="Char4">
    <w:name w:val="批注主题 Char"/>
    <w:basedOn w:val="Char"/>
    <w:link w:val="a8"/>
    <w:uiPriority w:val="99"/>
    <w:semiHidden/>
    <w:rPr>
      <w:rFonts w:asciiTheme="minorHAnsi" w:eastAsiaTheme="minorEastAsia" w:hAnsiTheme="minorHAnsi" w:cstheme="minorBidi"/>
      <w:b/>
      <w:bCs/>
      <w:kern w:val="2"/>
      <w:sz w:val="21"/>
      <w:szCs w:val="22"/>
    </w:rPr>
  </w:style>
  <w:style w:type="paragraph" w:customStyle="1" w:styleId="af">
    <w:name w:val="临时条文说明"/>
    <w:basedOn w:val="a"/>
    <w:link w:val="Char5"/>
    <w:qFormat/>
    <w:pPr>
      <w:spacing w:line="288" w:lineRule="auto"/>
    </w:pPr>
    <w:rPr>
      <w:rFonts w:ascii="宋体" w:eastAsia="宋体" w:hAnsi="宋体" w:cs="Times New Roman"/>
      <w:i/>
      <w:color w:val="00B050"/>
      <w:sz w:val="18"/>
      <w:szCs w:val="18"/>
    </w:rPr>
  </w:style>
  <w:style w:type="character" w:customStyle="1" w:styleId="Char5">
    <w:name w:val="临时条文说明 Char"/>
    <w:link w:val="af"/>
    <w:rPr>
      <w:rFonts w:ascii="宋体" w:hAnsi="宋体"/>
      <w:i/>
      <w:color w:val="00B050"/>
      <w:kern w:val="2"/>
      <w:sz w:val="18"/>
      <w:szCs w:val="18"/>
    </w:rPr>
  </w:style>
  <w:style w:type="character" w:customStyle="1" w:styleId="4Char">
    <w:name w:val="标题 4 Char"/>
    <w:basedOn w:val="a0"/>
    <w:link w:val="4"/>
    <w:uiPriority w:val="9"/>
    <w:semiHidden/>
    <w:rPr>
      <w:rFonts w:asciiTheme="majorHAnsi" w:eastAsiaTheme="majorEastAsia" w:hAnsiTheme="majorHAnsi" w:cstheme="majorBidi"/>
      <w:b/>
      <w:bCs/>
      <w:kern w:val="2"/>
      <w:sz w:val="28"/>
      <w:szCs w:val="28"/>
    </w:rPr>
  </w:style>
  <w:style w:type="paragraph" w:customStyle="1" w:styleId="TOC1">
    <w:name w:val="TOC 标题1"/>
    <w:basedOn w:val="1"/>
    <w:next w:val="a"/>
    <w:uiPriority w:val="39"/>
    <w:unhideWhenUsed/>
    <w:qFormat/>
    <w:pPr>
      <w:widowControl/>
      <w:numPr>
        <w:numId w:val="0"/>
      </w:numPr>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79071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emf"/><Relationship Id="rId18" Type="http://schemas.openxmlformats.org/officeDocument/2006/relationships/image" Target="media/image6.emf"/><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footer" Target="footer3.xml"/><Relationship Id="rId17" Type="http://schemas.openxmlformats.org/officeDocument/2006/relationships/image" Target="media/image5.emf"/><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24"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image" Target="media/image3.emf"/><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2.emf"/><Relationship Id="rId22" Type="http://schemas.openxmlformats.org/officeDocument/2006/relationships/image" Target="media/image10.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C66B621-5522-4C2B-8B29-B3C1200EB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29734</Words>
  <Characters>3902</Characters>
  <Application>Microsoft Office Word</Application>
  <DocSecurity>0</DocSecurity>
  <Lines>32</Lines>
  <Paragraphs>67</Paragraphs>
  <ScaleCrop>false</ScaleCrop>
  <Company/>
  <LinksUpToDate>false</LinksUpToDate>
  <CharactersWithSpaces>33569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QHTF</dc:creator>
  <cp:lastModifiedBy>王青桥</cp:lastModifiedBy>
  <cp:revision>2</cp:revision>
  <cp:lastPrinted>2025-02-19T01:28:00Z</cp:lastPrinted>
  <dcterms:created xsi:type="dcterms:W3CDTF">2026-03-10T01:20:00Z</dcterms:created>
  <dcterms:modified xsi:type="dcterms:W3CDTF">2026-03-10T01:20:00Z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C6BC3B9BE1E84807B21E591C69500E9C_13</vt:lpwstr>
  </property>
  <property fmtid="{D5CDD505-2E9C-101B-9397-08002B2CF9AE}" pid="4" name="KSOTemplateDocerSaveRecord">
    <vt:lpwstr>eyJoZGlkIjoiNjM3MTQ4MGJjOTZlNjQzZTNhMzM2MDdjMWJhODk5M2QiLCJ1c2VySWQiOiI0MjgxNzE3NjgifQ==</vt:lpwstr>
  </property>
</Properties>
</file>